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406902" w:rsidRDefault="001E561B" w:rsidP="001E561B">
      <w:pPr>
        <w:jc w:val="center"/>
        <w:rPr>
          <w:rFonts w:ascii="Algerian" w:hAnsi="Algerian"/>
          <w:sz w:val="32"/>
          <w:szCs w:val="32"/>
        </w:rPr>
      </w:pPr>
      <w:r w:rsidRPr="001E561B">
        <w:rPr>
          <w:rFonts w:ascii="Algerian" w:hAnsi="Algerian"/>
          <w:b/>
          <w:sz w:val="32"/>
          <w:szCs w:val="32"/>
        </w:rPr>
        <w:t>P</w:t>
      </w:r>
      <w:r w:rsidRPr="00406902">
        <w:rPr>
          <w:rFonts w:ascii="Algerian" w:hAnsi="Algerian"/>
          <w:sz w:val="32"/>
          <w:szCs w:val="32"/>
        </w:rPr>
        <w:t xml:space="preserve">HARMA </w:t>
      </w:r>
      <w:r w:rsidR="00EB4E9B">
        <w:rPr>
          <w:rFonts w:ascii="Algerian" w:hAnsi="Algerian"/>
          <w:sz w:val="32"/>
          <w:szCs w:val="32"/>
        </w:rPr>
        <w:t>&amp;</w:t>
      </w:r>
      <w:r w:rsidRPr="00406902">
        <w:rPr>
          <w:rFonts w:ascii="Algerian" w:hAnsi="Algerian"/>
          <w:sz w:val="32"/>
          <w:szCs w:val="32"/>
        </w:rPr>
        <w:t xml:space="preserve"> its FDA</w:t>
      </w:r>
      <w:r w:rsidR="00042B57">
        <w:rPr>
          <w:rFonts w:ascii="Algerian" w:hAnsi="Algerian"/>
          <w:sz w:val="32"/>
          <w:szCs w:val="32"/>
        </w:rPr>
        <w:t xml:space="preserve"> &amp; CDC</w:t>
      </w:r>
      <w:r w:rsidRPr="00406902">
        <w:rPr>
          <w:rFonts w:ascii="Algerian" w:hAnsi="Algerian"/>
          <w:sz w:val="32"/>
          <w:szCs w:val="32"/>
        </w:rPr>
        <w:t xml:space="preserve"> COHORTS</w:t>
      </w:r>
    </w:p>
    <w:p w:rsidR="00406902" w:rsidRPr="00406902" w:rsidRDefault="00406902" w:rsidP="001E561B">
      <w:pPr>
        <w:jc w:val="center"/>
        <w:rPr>
          <w:b/>
          <w:sz w:val="24"/>
          <w:szCs w:val="24"/>
        </w:rPr>
      </w:pPr>
      <w:r>
        <w:rPr>
          <w:b/>
          <w:sz w:val="24"/>
          <w:szCs w:val="24"/>
        </w:rPr>
        <w:t>by</w:t>
      </w:r>
    </w:p>
    <w:p w:rsidR="001E561B" w:rsidRPr="001E561B" w:rsidRDefault="001E561B" w:rsidP="001E561B">
      <w:pPr>
        <w:jc w:val="center"/>
        <w:rPr>
          <w:sz w:val="28"/>
          <w:szCs w:val="28"/>
        </w:rPr>
      </w:pPr>
      <w:r w:rsidRPr="001E561B">
        <w:rPr>
          <w:b/>
          <w:sz w:val="28"/>
          <w:szCs w:val="28"/>
        </w:rPr>
        <w:t>Marguerite dar Boggia</w:t>
      </w:r>
    </w:p>
    <w:p w:rsidR="001E561B" w:rsidRPr="001E561B" w:rsidRDefault="001E561B" w:rsidP="001E561B">
      <w:pPr>
        <w:rPr>
          <w:rFonts w:eastAsiaTheme="minorEastAsia" w:cs="Times New Roman"/>
          <w:sz w:val="24"/>
          <w:szCs w:val="24"/>
        </w:rPr>
      </w:pPr>
      <w:r>
        <w:rPr>
          <w:rFonts w:eastAsiaTheme="minorEastAsia" w:cs="Times New Roman"/>
        </w:rPr>
        <w:tab/>
      </w:r>
      <w:r>
        <w:rPr>
          <w:rFonts w:eastAsiaTheme="minorEastAsia" w:cs="Times New Roman"/>
          <w:sz w:val="24"/>
          <w:szCs w:val="24"/>
        </w:rPr>
        <w:tab/>
      </w:r>
    </w:p>
    <w:p w:rsidR="001E561B" w:rsidRDefault="008E4416" w:rsidP="001E561B">
      <w:pPr>
        <w:jc w:val="both"/>
        <w:rPr>
          <w:rFonts w:ascii="Times New Roman" w:eastAsiaTheme="minorEastAsia" w:hAnsi="Times New Roman" w:cs="Times New Roman"/>
          <w:sz w:val="24"/>
          <w:szCs w:val="24"/>
        </w:rPr>
      </w:pPr>
      <w:r>
        <w:rPr>
          <w:rFonts w:eastAsiaTheme="minorEastAsia" w:cs="Times New Roman"/>
          <w:noProof/>
        </w:rPr>
        <w:drawing>
          <wp:anchor distT="0" distB="0" distL="114300" distR="114300" simplePos="0" relativeHeight="251660288" behindDoc="0" locked="0" layoutInCell="1" allowOverlap="1">
            <wp:simplePos x="0" y="0"/>
            <wp:positionH relativeFrom="column">
              <wp:posOffset>-148590</wp:posOffset>
            </wp:positionH>
            <wp:positionV relativeFrom="paragraph">
              <wp:posOffset>88265</wp:posOffset>
            </wp:positionV>
            <wp:extent cx="2099310" cy="2179320"/>
            <wp:effectExtent l="19050" t="0" r="0" b="0"/>
            <wp:wrapSquare wrapText="bothSides"/>
            <wp:docPr id="94" name="Picture 1" descr="Image result for da Vinci's drawing of Man in the form of a cross"/>
            <wp:cNvGraphicFramePr/>
            <a:graphic xmlns:a="http://schemas.openxmlformats.org/drawingml/2006/main">
              <a:graphicData uri="http://schemas.openxmlformats.org/drawingml/2006/picture">
                <pic:pic xmlns:pic="http://schemas.openxmlformats.org/drawingml/2006/picture">
                  <pic:nvPicPr>
                    <pic:cNvPr id="0" name="Picture 5" descr="Image result for da Vinci's drawing of Man in the form of a cross"/>
                    <pic:cNvPicPr>
                      <a:picLocks noChangeAspect="1" noChangeArrowheads="1"/>
                    </pic:cNvPicPr>
                  </pic:nvPicPr>
                  <pic:blipFill>
                    <a:blip r:embed="rId7"/>
                    <a:srcRect/>
                    <a:stretch>
                      <a:fillRect/>
                    </a:stretch>
                  </pic:blipFill>
                  <pic:spPr bwMode="auto">
                    <a:xfrm>
                      <a:off x="0" y="0"/>
                      <a:ext cx="2099310" cy="2179320"/>
                    </a:xfrm>
                    <a:prstGeom prst="rect">
                      <a:avLst/>
                    </a:prstGeom>
                    <a:noFill/>
                    <a:ln w="9525">
                      <a:noFill/>
                      <a:miter lim="800000"/>
                      <a:headEnd/>
                      <a:tailEnd/>
                    </a:ln>
                  </pic:spPr>
                </pic:pic>
              </a:graphicData>
            </a:graphic>
          </wp:anchor>
        </w:drawing>
      </w:r>
      <w:r w:rsidR="001E561B">
        <w:rPr>
          <w:rFonts w:eastAsiaTheme="minorEastAsia" w:cs="Times New Roman"/>
        </w:rPr>
        <w:tab/>
      </w:r>
      <w:r w:rsidR="001E561B" w:rsidRPr="00406902">
        <w:rPr>
          <w:rFonts w:ascii="Times New Roman" w:eastAsiaTheme="minorEastAsia" w:hAnsi="Times New Roman" w:cs="Times New Roman"/>
          <w:sz w:val="24"/>
          <w:szCs w:val="24"/>
        </w:rPr>
        <w:t>Oh for a world of workers interested in the love of humanity and not</w:t>
      </w:r>
      <w:r w:rsidR="00406902">
        <w:rPr>
          <w:rFonts w:ascii="Times New Roman" w:eastAsiaTheme="minorEastAsia" w:hAnsi="Times New Roman" w:cs="Times New Roman"/>
          <w:sz w:val="24"/>
          <w:szCs w:val="24"/>
        </w:rPr>
        <w:t xml:space="preserve"> in</w:t>
      </w:r>
      <w:r w:rsidR="001E561B" w:rsidRPr="00406902">
        <w:rPr>
          <w:rFonts w:ascii="Times New Roman" w:eastAsiaTheme="minorEastAsia" w:hAnsi="Times New Roman" w:cs="Times New Roman"/>
          <w:sz w:val="24"/>
          <w:szCs w:val="24"/>
        </w:rPr>
        <w:t xml:space="preserve"> money, power and control!</w:t>
      </w:r>
      <w:r w:rsidR="00406902">
        <w:rPr>
          <w:rFonts w:ascii="Times New Roman" w:eastAsiaTheme="minorEastAsia" w:hAnsi="Times New Roman" w:cs="Times New Roman"/>
          <w:sz w:val="24"/>
          <w:szCs w:val="24"/>
        </w:rPr>
        <w:t xml:space="preserve"> Robert F. Kennedy, Jr. in his article </w:t>
      </w:r>
      <w:r w:rsidR="00F02E7A">
        <w:rPr>
          <w:rFonts w:ascii="Times New Roman" w:eastAsiaTheme="minorEastAsia" w:hAnsi="Times New Roman" w:cs="Times New Roman"/>
          <w:sz w:val="24"/>
          <w:szCs w:val="24"/>
        </w:rPr>
        <w:t>"</w:t>
      </w:r>
      <w:r w:rsidR="00406902">
        <w:rPr>
          <w:rFonts w:ascii="Times New Roman" w:eastAsiaTheme="minorEastAsia" w:hAnsi="Times New Roman" w:cs="Times New Roman"/>
          <w:sz w:val="24"/>
          <w:szCs w:val="24"/>
        </w:rPr>
        <w:t>Vaccines and the Liberal Mind</w:t>
      </w:r>
      <w:r w:rsidR="00F02E7A">
        <w:rPr>
          <w:rFonts w:ascii="Times New Roman" w:eastAsiaTheme="minorEastAsia" w:hAnsi="Times New Roman" w:cs="Times New Roman"/>
          <w:sz w:val="24"/>
          <w:szCs w:val="24"/>
        </w:rPr>
        <w:t>"</w:t>
      </w:r>
      <w:r w:rsidR="00406902">
        <w:rPr>
          <w:rFonts w:ascii="Times New Roman" w:eastAsiaTheme="minorEastAsia" w:hAnsi="Times New Roman" w:cs="Times New Roman"/>
          <w:sz w:val="24"/>
          <w:szCs w:val="24"/>
        </w:rPr>
        <w:t xml:space="preserve"> wrote </w:t>
      </w:r>
      <w:r w:rsidR="00757ABB">
        <w:rPr>
          <w:rFonts w:ascii="Times New Roman" w:eastAsiaTheme="minorEastAsia" w:hAnsi="Times New Roman" w:cs="Times New Roman"/>
          <w:sz w:val="24"/>
          <w:szCs w:val="24"/>
        </w:rPr>
        <w:t>"</w:t>
      </w:r>
      <w:r w:rsidR="00406902">
        <w:rPr>
          <w:rFonts w:ascii="Times New Roman" w:eastAsiaTheme="minorEastAsia" w:hAnsi="Times New Roman" w:cs="Times New Roman"/>
          <w:sz w:val="24"/>
          <w:szCs w:val="24"/>
        </w:rPr>
        <w:t>instead of demanding blue-ribbon safety science and encouraging honest, open and responsible debate on the science, too many online outlets are silencing critics and shutting down discussion on this key public health and civil rights issue.</w:t>
      </w:r>
    </w:p>
    <w:p w:rsidR="007F6473" w:rsidRDefault="007F6473" w:rsidP="001E561B">
      <w:pPr>
        <w:jc w:val="both"/>
        <w:rPr>
          <w:rFonts w:ascii="Times New Roman" w:eastAsia="Times New Roman" w:hAnsi="Times New Roman" w:cs="Times New Roman"/>
          <w:sz w:val="24"/>
          <w:szCs w:val="24"/>
        </w:rPr>
      </w:pPr>
      <w:r>
        <w:rPr>
          <w:rFonts w:ascii="Times New Roman" w:eastAsiaTheme="minorEastAsia" w:hAnsi="Times New Roman" w:cs="Times New Roman"/>
          <w:sz w:val="24"/>
          <w:szCs w:val="24"/>
        </w:rPr>
        <w:tab/>
      </w:r>
      <w:r w:rsidR="00DA1B4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Late last year, </w:t>
      </w:r>
      <w:r>
        <w:rPr>
          <w:rFonts w:ascii="Times New Roman" w:eastAsiaTheme="minorEastAsia" w:hAnsi="Times New Roman" w:cs="Times New Roman"/>
          <w:i/>
          <w:sz w:val="24"/>
          <w:szCs w:val="24"/>
        </w:rPr>
        <w:t>Slate</w:t>
      </w:r>
      <w:r>
        <w:rPr>
          <w:rFonts w:ascii="Times New Roman" w:eastAsiaTheme="minorEastAsia" w:hAnsi="Times New Roman" w:cs="Times New Roman"/>
          <w:sz w:val="24"/>
          <w:szCs w:val="24"/>
        </w:rPr>
        <w:t xml:space="preserve"> published an</w:t>
      </w:r>
      <w:hyperlink r:id="rId8" w:history="1">
        <w:r w:rsidRPr="007F6473">
          <w:rPr>
            <w:rFonts w:ascii="Times New Roman" w:eastAsia="Times New Roman" w:hAnsi="Times New Roman" w:cs="Times New Roman"/>
            <w:color w:val="0000FF"/>
            <w:sz w:val="24"/>
            <w:szCs w:val="24"/>
            <w:u w:val="single"/>
          </w:rPr>
          <w:t xml:space="preserve"> investigative report</w:t>
        </w:r>
      </w:hyperlink>
      <w:r>
        <w:rPr>
          <w:rFonts w:ascii="Times New Roman" w:eastAsia="Times New Roman" w:hAnsi="Times New Roman" w:cs="Times New Roman"/>
          <w:sz w:val="24"/>
          <w:szCs w:val="24"/>
        </w:rPr>
        <w:t xml:space="preserve"> detailing how pharmaceutical giant Merck used "flawed" and " unreliable" prelicensing safety studies to push through approval of its multi-billion-dollar bonanza, the HPV vaccine. The most shocking aspect of the</w:t>
      </w:r>
      <w:r w:rsidR="00757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expose was that </w:t>
      </w:r>
      <w:r>
        <w:rPr>
          <w:rFonts w:ascii="Times New Roman" w:eastAsia="Times New Roman" w:hAnsi="Times New Roman" w:cs="Times New Roman"/>
          <w:i/>
          <w:sz w:val="24"/>
          <w:szCs w:val="24"/>
        </w:rPr>
        <w:t>Slate</w:t>
      </w:r>
      <w:r>
        <w:rPr>
          <w:rFonts w:ascii="Times New Roman" w:eastAsia="Times New Roman" w:hAnsi="Times New Roman" w:cs="Times New Roman"/>
          <w:sz w:val="24"/>
          <w:szCs w:val="24"/>
        </w:rPr>
        <w:t xml:space="preserve"> published it at all. Slate and other liberal online publications including </w:t>
      </w:r>
      <w:r>
        <w:rPr>
          <w:rFonts w:ascii="Times New Roman" w:eastAsia="Times New Roman" w:hAnsi="Times New Roman" w:cs="Times New Roman"/>
          <w:i/>
          <w:sz w:val="24"/>
          <w:szCs w:val="24"/>
        </w:rPr>
        <w:t xml:space="preserve">Salon,, Huffington Post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 xml:space="preserve">The Daily Beast </w:t>
      </w:r>
      <w:r>
        <w:rPr>
          <w:rFonts w:ascii="Times New Roman" w:eastAsia="Times New Roman" w:hAnsi="Times New Roman" w:cs="Times New Roman"/>
          <w:sz w:val="24"/>
          <w:szCs w:val="24"/>
        </w:rPr>
        <w:t>customarily block articles that critique</w:t>
      </w:r>
      <w:r w:rsidR="00034C10">
        <w:rPr>
          <w:rFonts w:ascii="Times New Roman" w:eastAsia="Times New Roman" w:hAnsi="Times New Roman" w:cs="Times New Roman"/>
          <w:sz w:val="24"/>
          <w:szCs w:val="24"/>
        </w:rPr>
        <w:t xml:space="preserve"> vaccine safety in order, they argue, to encourage vaccination and protect public health. Motivated by this noble purpose, the liberal media--the su</w:t>
      </w:r>
      <w:r w:rsidR="00757ABB">
        <w:rPr>
          <w:rFonts w:ascii="Times New Roman" w:eastAsia="Times New Roman" w:hAnsi="Times New Roman" w:cs="Times New Roman"/>
          <w:sz w:val="24"/>
          <w:szCs w:val="24"/>
        </w:rPr>
        <w:t>p</w:t>
      </w:r>
      <w:r w:rsidR="00034C10">
        <w:rPr>
          <w:rFonts w:ascii="Times New Roman" w:eastAsia="Times New Roman" w:hAnsi="Times New Roman" w:cs="Times New Roman"/>
          <w:sz w:val="24"/>
          <w:szCs w:val="24"/>
        </w:rPr>
        <w:t xml:space="preserve">posed antidote to corporate and government power--has helped insulate from scrutiny the </w:t>
      </w:r>
      <w:r w:rsidR="00757ABB">
        <w:rPr>
          <w:rFonts w:ascii="Times New Roman" w:eastAsia="Times New Roman" w:hAnsi="Times New Roman" w:cs="Times New Roman"/>
          <w:sz w:val="24"/>
          <w:szCs w:val="24"/>
        </w:rPr>
        <w:t>b</w:t>
      </w:r>
      <w:r w:rsidR="00034C10">
        <w:rPr>
          <w:rFonts w:ascii="Times New Roman" w:eastAsia="Times New Roman" w:hAnsi="Times New Roman" w:cs="Times New Roman"/>
          <w:sz w:val="24"/>
          <w:szCs w:val="24"/>
        </w:rPr>
        <w:t>urgeoning vaccine industry and its two r</w:t>
      </w:r>
      <w:r w:rsidR="00757ABB">
        <w:rPr>
          <w:rFonts w:ascii="Times New Roman" w:eastAsia="Times New Roman" w:hAnsi="Times New Roman" w:cs="Times New Roman"/>
          <w:sz w:val="24"/>
          <w:szCs w:val="24"/>
        </w:rPr>
        <w:t>e</w:t>
      </w:r>
      <w:r w:rsidR="00034C10">
        <w:rPr>
          <w:rFonts w:ascii="Times New Roman" w:eastAsia="Times New Roman" w:hAnsi="Times New Roman" w:cs="Times New Roman"/>
          <w:sz w:val="24"/>
          <w:szCs w:val="24"/>
        </w:rPr>
        <w:t>gulators, the U.S. Food and Drug Administration (FDA) and Center for Disease Control and Prevention (CDC)</w:t>
      </w:r>
    </w:p>
    <w:p w:rsidR="00034C10" w:rsidRDefault="00034C10"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Ironically, liberals routinely lambaste Pharma and its FDA enablers for putting profits over people. Recent examples include Vioxx (100,000 injured--Merck paid more than $5 billion  in fines and settlements). Abilify (Briston Meyers Squibb paid $515 million for marketing the drug to nursing homes,, knowing it can be fatal to</w:t>
      </w:r>
      <w:r w:rsidR="00B338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seniors). Celebrex and Bextra (Pfizer paid $894 million for </w:t>
      </w:r>
      <w:r w:rsidR="00B338D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ribing public officials and false advertising about safety and </w:t>
      </w:r>
      <w:r w:rsidR="00B338DB">
        <w:rPr>
          <w:rFonts w:ascii="Times New Roman" w:eastAsia="Times New Roman" w:hAnsi="Times New Roman" w:cs="Times New Roman"/>
          <w:sz w:val="24"/>
          <w:szCs w:val="24"/>
        </w:rPr>
        <w:t xml:space="preserve">effectiveness) and, of course, the opioid crisis, which in 2016 killed more Americans than the 20-year Vietnam War. </w:t>
      </w:r>
      <w:r w:rsidR="00DA1B47">
        <w:rPr>
          <w:rFonts w:ascii="Times New Roman" w:eastAsia="Times New Roman" w:hAnsi="Times New Roman" w:cs="Times New Roman"/>
          <w:sz w:val="24"/>
          <w:szCs w:val="24"/>
        </w:rPr>
        <w:t>W</w:t>
      </w:r>
      <w:r w:rsidR="00B338DB">
        <w:rPr>
          <w:rFonts w:ascii="Times New Roman" w:eastAsia="Times New Roman" w:hAnsi="Times New Roman" w:cs="Times New Roman"/>
          <w:sz w:val="24"/>
          <w:szCs w:val="24"/>
        </w:rPr>
        <w:t>hat then, makes liberals think that these same companies are immune from sililar temptations when it comes to vaccines? There is plenty of evidence that they are not. Merck, the world's largest vaccine maker, is currently fighting multiple lawsuits, brought by its own scientists, claiming that the company forced them to falsify efficacy data for its MMR vaccine.</w:t>
      </w:r>
    </w:p>
    <w:p w:rsidR="00A3721C" w:rsidRDefault="00A3721C"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C96906">
        <w:rPr>
          <w:rFonts w:ascii="Times New Roman" w:eastAsia="Times New Roman" w:hAnsi="Times New Roman" w:cs="Times New Roman"/>
          <w:sz w:val="24"/>
          <w:szCs w:val="24"/>
        </w:rPr>
        <w:t xml:space="preserve">The  </w:t>
      </w:r>
      <w:r w:rsidR="00C96906">
        <w:rPr>
          <w:rFonts w:ascii="Times New Roman" w:eastAsia="Times New Roman" w:hAnsi="Times New Roman" w:cs="Times New Roman"/>
          <w:i/>
          <w:sz w:val="24"/>
          <w:szCs w:val="24"/>
        </w:rPr>
        <w:t xml:space="preserve">Slate </w:t>
      </w:r>
      <w:r w:rsidR="00C96906">
        <w:rPr>
          <w:rFonts w:ascii="Times New Roman" w:eastAsia="Times New Roman" w:hAnsi="Times New Roman" w:cs="Times New Roman"/>
          <w:sz w:val="24"/>
          <w:szCs w:val="24"/>
        </w:rPr>
        <w:t>article nowhere discloses that FDA licenses virtually all vaccines using the same mawing saf</w:t>
      </w:r>
      <w:r w:rsidR="00716EA2">
        <w:rPr>
          <w:rFonts w:ascii="Times New Roman" w:eastAsia="Times New Roman" w:hAnsi="Times New Roman" w:cs="Times New Roman"/>
          <w:sz w:val="24"/>
          <w:szCs w:val="24"/>
        </w:rPr>
        <w:t>et</w:t>
      </w:r>
      <w:r w:rsidR="00C96906">
        <w:rPr>
          <w:rFonts w:ascii="Times New Roman" w:eastAsia="Times New Roman" w:hAnsi="Times New Roman" w:cs="Times New Roman"/>
          <w:sz w:val="24"/>
          <w:szCs w:val="24"/>
        </w:rPr>
        <w:t>y science deficiencies that brought us Gardasil. FDA claims that "vaccines undergo rigorous safety testing to determine their safety." But that's not true. FDA's choice to classify vaccine makers</w:t>
      </w:r>
      <w:r w:rsidR="00716EA2">
        <w:rPr>
          <w:rFonts w:ascii="Times New Roman" w:eastAsia="Times New Roman" w:hAnsi="Times New Roman" w:cs="Times New Roman"/>
          <w:sz w:val="24"/>
          <w:szCs w:val="24"/>
        </w:rPr>
        <w:t xml:space="preserve"> as "biologics" rather than "drugs" opened a regulatory loophole that allows vaccines to evade any meaningful safety testing. Instead of the multi-year double-blind inert placebo studies--the gold standard of safety science--that the FDA requires prior to licensing other medications, most vaccines now on the CDC's recommended childhood vaccine </w:t>
      </w:r>
      <w:r w:rsidR="00716EA2">
        <w:rPr>
          <w:rFonts w:ascii="Times New Roman" w:eastAsia="Times New Roman" w:hAnsi="Times New Roman" w:cs="Times New Roman"/>
          <w:sz w:val="24"/>
          <w:szCs w:val="24"/>
        </w:rPr>
        <w:lastRenderedPageBreak/>
        <w:t>schedule were safety teste</w:t>
      </w:r>
      <w:r w:rsidR="00716EA2" w:rsidRPr="00757ABB">
        <w:rPr>
          <w:rFonts w:ascii="Times New Roman" w:eastAsia="Times New Roman" w:hAnsi="Times New Roman" w:cs="Times New Roman"/>
          <w:sz w:val="24"/>
          <w:szCs w:val="24"/>
        </w:rPr>
        <w:t xml:space="preserve">d for only a few days or weeks. For example, </w:t>
      </w:r>
      <w:hyperlink r:id="rId9" w:history="1">
        <w:r w:rsidR="00757ABB" w:rsidRPr="00757ABB">
          <w:rPr>
            <w:rFonts w:ascii="Times New Roman" w:eastAsia="Times New Roman" w:hAnsi="Times New Roman" w:cs="Times New Roman"/>
            <w:color w:val="0000FF"/>
            <w:sz w:val="24"/>
            <w:szCs w:val="24"/>
            <w:u w:val="single"/>
          </w:rPr>
          <w:t xml:space="preserve"> manufacturer’s package insert</w:t>
        </w:r>
      </w:hyperlink>
      <w:r w:rsidR="00757ABB">
        <w:rPr>
          <w:rFonts w:ascii="Times New Roman" w:eastAsia="Times New Roman" w:hAnsi="Times New Roman" w:cs="Times New Roman"/>
          <w:sz w:val="24"/>
          <w:szCs w:val="24"/>
        </w:rPr>
        <w:t xml:space="preserve">  discloses that Merck's Hep B vaccine (almost every American infant receives a Hep B shot on the day of birth) underwent not five years but a mere five days of safety testing.  If the babies in these studies had a seizure- or died- on day six, Merck as under no obligation to disclose those facts. </w:t>
      </w:r>
    </w:p>
    <w:p w:rsidR="00C96906" w:rsidRDefault="00A3721C"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757ABB">
        <w:rPr>
          <w:rFonts w:ascii="Times New Roman" w:eastAsia="Times New Roman" w:hAnsi="Times New Roman" w:cs="Times New Roman"/>
          <w:sz w:val="24"/>
          <w:szCs w:val="24"/>
        </w:rPr>
        <w:t>Furthermore, m</w:t>
      </w:r>
      <w:r w:rsidR="00DA1B47">
        <w:rPr>
          <w:rFonts w:ascii="Times New Roman" w:eastAsia="Times New Roman" w:hAnsi="Times New Roman" w:cs="Times New Roman"/>
          <w:sz w:val="24"/>
          <w:szCs w:val="24"/>
        </w:rPr>
        <w:t>a</w:t>
      </w:r>
      <w:r w:rsidR="00757ABB">
        <w:rPr>
          <w:rFonts w:ascii="Times New Roman" w:eastAsia="Times New Roman" w:hAnsi="Times New Roman" w:cs="Times New Roman"/>
          <w:sz w:val="24"/>
          <w:szCs w:val="24"/>
        </w:rPr>
        <w:t xml:space="preserve">ny </w:t>
      </w:r>
      <w:r w:rsidR="00DA1B47">
        <w:rPr>
          <w:rFonts w:ascii="Times New Roman" w:eastAsia="Times New Roman" w:hAnsi="Times New Roman" w:cs="Times New Roman"/>
          <w:sz w:val="24"/>
          <w:szCs w:val="24"/>
        </w:rPr>
        <w:t>v</w:t>
      </w:r>
      <w:r w:rsidR="00757ABB">
        <w:rPr>
          <w:rFonts w:ascii="Times New Roman" w:eastAsia="Times New Roman" w:hAnsi="Times New Roman" w:cs="Times New Roman"/>
          <w:sz w:val="24"/>
          <w:szCs w:val="24"/>
        </w:rPr>
        <w:t>accines contain dangerous amounts of known neurotoxins like mercury and aluminum and carcinogens like formaldehyde, that are associated with neuro</w:t>
      </w:r>
      <w:r w:rsidR="00DA1B47">
        <w:rPr>
          <w:rFonts w:ascii="Times New Roman" w:eastAsia="Times New Roman" w:hAnsi="Times New Roman" w:cs="Times New Roman"/>
          <w:sz w:val="24"/>
          <w:szCs w:val="24"/>
        </w:rPr>
        <w:t>-</w:t>
      </w:r>
      <w:r w:rsidR="00757ABB">
        <w:rPr>
          <w:rFonts w:ascii="Times New Roman" w:eastAsia="Times New Roman" w:hAnsi="Times New Roman" w:cs="Times New Roman"/>
          <w:sz w:val="24"/>
          <w:szCs w:val="24"/>
        </w:rPr>
        <w:t xml:space="preserve">developmental disorders, autoimmune problems, food </w:t>
      </w:r>
      <w:r w:rsidR="005C037B">
        <w:rPr>
          <w:rFonts w:ascii="Times New Roman" w:eastAsia="Times New Roman" w:hAnsi="Times New Roman" w:cs="Times New Roman"/>
          <w:sz w:val="24"/>
          <w:szCs w:val="24"/>
        </w:rPr>
        <w:t>allergies and cancers that might not be diagnosed for many years.  A five-day study has no way of spotting such associations. Equally shocking, FDA does not require vaccine manufacturers to measure proposed vaccines against true inert placebos, further obscuring researcher's capacity to see adverse health effects and virtually guaranteeing that more subtle injuries, such as impaired immune response, loss of IQ or depression, will never be detected--no matter how widespread.  Furthermore, the CDC has never studied the impacts on children's health of combining 50 plus vaccines.</w:t>
      </w:r>
    </w:p>
    <w:p w:rsidR="005C037B" w:rsidRDefault="005C037B"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These lax testing requirements can save vaccine manufacturers tens of millions of dollars. That is one of the reasons for the "gold rush" that has multiplied vaccines from three, years ago, to the 50 plus vaccines that children typically receive today.</w:t>
      </w:r>
    </w:p>
    <w:p w:rsidR="005C037B" w:rsidRDefault="005C037B"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There are compelling reasons why vaccines have become Pharma's irresistible new profit and</w:t>
      </w:r>
      <w:r w:rsidR="00286A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growth vehicle. For example, manufacturers of the 50 plus vaccines on CDC's childhood schedule enjoy what has become a</w:t>
      </w:r>
      <w:r w:rsidR="00286A2C">
        <w:rPr>
          <w:rFonts w:ascii="Times New Roman" w:eastAsia="Times New Roman" w:hAnsi="Times New Roman" w:cs="Times New Roman"/>
          <w:sz w:val="24"/>
          <w:szCs w:val="24"/>
        </w:rPr>
        <w:t xml:space="preserve"> trapped audience of 74 million child consumers who are effectively compelled to purchase an expensive product sparing vaccine makers additional millions in advertising and marketing costs.</w:t>
      </w:r>
    </w:p>
    <w:p w:rsidR="00286A2C" w:rsidRDefault="00286A2C"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But the biggest economic boon to vaccine makers has been the National Childhood Vaccine Injury Act (NCVIA).  In 1986, Congress awash in pharmaceutical dollars--Big Pharma is, by far, the top Capitol Hill lobbying group--passed NCVI giving pharmaceutical companies what amounts to blanket immunity from liability for any injury caused by vaccines. No matter how toxic the ingredients, how </w:t>
      </w:r>
      <w:r w:rsidR="00DD1608">
        <w:rPr>
          <w:rFonts w:ascii="Times New Roman" w:eastAsia="Times New Roman" w:hAnsi="Times New Roman" w:cs="Times New Roman"/>
          <w:sz w:val="24"/>
          <w:szCs w:val="24"/>
        </w:rPr>
        <w:t>n</w:t>
      </w:r>
      <w:r>
        <w:rPr>
          <w:rFonts w:ascii="Times New Roman" w:eastAsia="Times New Roman" w:hAnsi="Times New Roman" w:cs="Times New Roman"/>
          <w:sz w:val="24"/>
          <w:szCs w:val="24"/>
        </w:rPr>
        <w:t>egligent the manufacturer or how grievous the harm, vaccine-injured children cannot sue a vaccine company.  That extraordinary law eliminated a principle cost associated with making other drugs and left the industry with little economic incentive to make vaccines save</w:t>
      </w:r>
      <w:r w:rsidR="00C17C72">
        <w:rPr>
          <w:rFonts w:ascii="Times New Roman" w:eastAsia="Times New Roman" w:hAnsi="Times New Roman" w:cs="Times New Roman"/>
          <w:sz w:val="24"/>
          <w:szCs w:val="24"/>
        </w:rPr>
        <w:t>. It also removed lawyers, judges and courts from their traditional roles as guardians of vaccine safety.  Since the law's passage, industry revenues have sky-rocketed from $1 billion to $44 billion.</w:t>
      </w:r>
    </w:p>
    <w:p w:rsidR="00C17C72" w:rsidRDefault="00C17C72"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The absence of critical attention to this exploding industry by liberal online sites is     particularly troubling since pharma, using strategic investments, has effectively sidelined, not just Congress, lawyers and courts but virtually all of our democracy's usual public health sentinels. Pervasive financial entanglements with vaccine makers and the other alchemies of agency capture have transformed the FDA and CDC into industry sock puppets.</w:t>
      </w:r>
    </w:p>
    <w:p w:rsidR="00EB4E9B" w:rsidRDefault="00C17C72"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1B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Strong economic drivers--pharmaceutical industries are the biggest network advertisers--discourage mainstream media outlets from criticizing vaccine manufacturers.  A network president once told me he would fire any of his news show hosts who allowed me to talk about </w:t>
      </w:r>
      <w:r>
        <w:rPr>
          <w:rFonts w:ascii="Times New Roman" w:eastAsia="Times New Roman" w:hAnsi="Times New Roman" w:cs="Times New Roman"/>
          <w:sz w:val="24"/>
          <w:szCs w:val="24"/>
        </w:rPr>
        <w:lastRenderedPageBreak/>
        <w:t xml:space="preserve">vaccine safety on air. "Our news division," he explained, "gets up to 70% of ad revenues from pharma </w:t>
      </w:r>
      <w:r w:rsidR="003353A0">
        <w:rPr>
          <w:rFonts w:ascii="Times New Roman" w:eastAsia="Times New Roman" w:hAnsi="Times New Roman" w:cs="Times New Roman"/>
          <w:sz w:val="24"/>
          <w:szCs w:val="24"/>
        </w:rPr>
        <w:t>in non-election years." Furthermore, liberal activists including environmental, human rights, public health and children's advocates also steer clear of vaccine safety discussions.  On other core issues like toxics, guns and cigarettes, the CDC has a long record of friendly collaboration with these advocates who have thereby acquired a knee-jerk impulse to protect the agency from outside criticism.</w:t>
      </w:r>
      <w:r w:rsidR="00DA1B47">
        <w:rPr>
          <w:rFonts w:ascii="Times New Roman" w:eastAsia="Times New Roman" w:hAnsi="Times New Roman" w:cs="Times New Roman"/>
          <w:sz w:val="24"/>
          <w:szCs w:val="24"/>
        </w:rPr>
        <w:t xml:space="preserve"> </w:t>
      </w:r>
    </w:p>
    <w:p w:rsidR="00A3721C" w:rsidRDefault="00EB4E9B"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DA1B47">
        <w:rPr>
          <w:rFonts w:ascii="Times New Roman" w:eastAsia="Times New Roman" w:hAnsi="Times New Roman" w:cs="Times New Roman"/>
          <w:sz w:val="24"/>
          <w:szCs w:val="24"/>
        </w:rPr>
        <w:t xml:space="preserve">In this vacuum, online liberal news sites are the last remaining barrier to protect children from corporate greed, yet they have become self-appointed arbiters against exposing the public to negative information about vaccine manufacturers and regulators. Liberal voices are not just sidelined, they are subsumed in the orthodoxy that all vaccines are always good for all people--and the more the better.  Working with Pharma reps and their tame politicians, liberal news reporters and columnists across America are laboring in nearly every state to make the CDC vaccine schedule compulsory for children and to eliminate religious,  philosophical and even medical exemptions. </w:t>
      </w:r>
    </w:p>
    <w:p w:rsidR="00C17C72" w:rsidRDefault="00A3721C"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DA1B47">
        <w:rPr>
          <w:rFonts w:ascii="Times New Roman" w:eastAsia="Times New Roman" w:hAnsi="Times New Roman" w:cs="Times New Roman"/>
          <w:sz w:val="24"/>
          <w:szCs w:val="24"/>
        </w:rPr>
        <w:t>As a result, the gove</w:t>
      </w:r>
      <w:r w:rsidR="005B65CC">
        <w:rPr>
          <w:rFonts w:ascii="Times New Roman" w:eastAsia="Times New Roman" w:hAnsi="Times New Roman" w:cs="Times New Roman"/>
          <w:sz w:val="24"/>
          <w:szCs w:val="24"/>
        </w:rPr>
        <w:t>r</w:t>
      </w:r>
      <w:r w:rsidR="00DA1B47">
        <w:rPr>
          <w:rFonts w:ascii="Times New Roman" w:eastAsia="Times New Roman" w:hAnsi="Times New Roman" w:cs="Times New Roman"/>
          <w:sz w:val="24"/>
          <w:szCs w:val="24"/>
        </w:rPr>
        <w:t>nment/Big Pharma combination</w:t>
      </w:r>
      <w:r w:rsidR="005B65CC">
        <w:rPr>
          <w:rFonts w:ascii="Times New Roman" w:eastAsia="Times New Roman" w:hAnsi="Times New Roman" w:cs="Times New Roman"/>
          <w:sz w:val="24"/>
          <w:szCs w:val="24"/>
        </w:rPr>
        <w:t xml:space="preserve"> has gained unprecedented power to override parental consent and force otherwise healthy children, and other unwilling consumers, to undergo compulsory vaccinations, a shocking advance along the road to a corporate totalitarianism which seeks</w:t>
      </w:r>
      <w:r w:rsidR="00DA1B47">
        <w:rPr>
          <w:rFonts w:ascii="Times New Roman" w:eastAsia="Times New Roman" w:hAnsi="Times New Roman" w:cs="Times New Roman"/>
          <w:sz w:val="24"/>
          <w:szCs w:val="24"/>
        </w:rPr>
        <w:t xml:space="preserve"> </w:t>
      </w:r>
      <w:r w:rsidR="005B65CC">
        <w:rPr>
          <w:rFonts w:ascii="Times New Roman" w:eastAsia="Times New Roman" w:hAnsi="Times New Roman" w:cs="Times New Roman"/>
          <w:sz w:val="24"/>
          <w:szCs w:val="24"/>
        </w:rPr>
        <w:t>absolute control, even of our bodies. Keep in mind that there is no authentic dispute that vaccination is a risky medical intervention.  It was the wave of lawsuits arising from injuries suffered from the Diphtheria/Tetanus/Pertussis (DTP) vaccine in the 1980s, that caused Congress to pass the NCVIA bestowing immunity on the pharmaceutical industry, which threatened, otherwise, to stop making vaccines.  In upholding that law, the Supreme Court declared NCVIA justified because "vaccines are unavoidably unsafe."  Since then, the Federal Vaccine Court, created by NCVIA, has paid out $3,8 billion to vaccine-injured individuals. That number dramatic</w:t>
      </w:r>
      <w:r w:rsidR="00EB4E9B">
        <w:rPr>
          <w:rFonts w:ascii="Times New Roman" w:eastAsia="Times New Roman" w:hAnsi="Times New Roman" w:cs="Times New Roman"/>
          <w:sz w:val="24"/>
          <w:szCs w:val="24"/>
        </w:rPr>
        <w:t>a</w:t>
      </w:r>
      <w:r w:rsidR="005B65CC">
        <w:rPr>
          <w:rFonts w:ascii="Times New Roman" w:eastAsia="Times New Roman" w:hAnsi="Times New Roman" w:cs="Times New Roman"/>
          <w:sz w:val="24"/>
          <w:szCs w:val="24"/>
        </w:rPr>
        <w:t>lly understates the true gravity of the harm. A Department of Health and Human Services funded report acknowledges that "fewer than 1% of vaccine adverse events are reported.</w:t>
      </w:r>
    </w:p>
    <w:p w:rsidR="005E51B1" w:rsidRDefault="005E51B1"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"Supporting a law that forces Americans to relinquish control of their bodies to a </w:t>
      </w:r>
    </w:p>
    <w:p w:rsidR="005E51B1" w:rsidRDefault="005E51B1"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corporate/state behemoth is an odd posture for liberals, who once championed the precept of "informed consent," as the mainstay of the Nuremberg Code and the declarations of Helsinki and Geneva which protect individuals against all coerced medical interventions.</w:t>
      </w:r>
    </w:p>
    <w:p w:rsidR="005E51B1" w:rsidRDefault="005E51B1"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"Science suggests that we might have made a big mistake by not aggressively safety testing our mandatory vaccines. Chronic diseases like ADHD, asthma, autoimmune diseases and allergies now affect 54 percent of our children, up from 12.6 percent in 198, the  year NCVIA took effect. And those data measure only the injuries characterized in digital medical records.  Health advocates warn that we may be missing subtler injuries like widespread losses in reading and IQ and in executive and behavioral functions. </w:t>
      </w:r>
    </w:p>
    <w:p w:rsidR="00301BE6" w:rsidRDefault="005E51B1"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suspicion that the neurotoxins in vaccines may be negatively affecting a generation is not wild speculation. Numerous studies point to the once ubiquitous use of leaded gasoline as the cause of widespread IQ </w:t>
      </w:r>
      <w:r w:rsidR="00301BE6">
        <w:rPr>
          <w:rFonts w:ascii="Times New Roman" w:eastAsia="Times New Roman" w:hAnsi="Times New Roman" w:cs="Times New Roman"/>
          <w:sz w:val="24"/>
          <w:szCs w:val="24"/>
        </w:rPr>
        <w:t>loss and violence that bedeviled the generations from the 1960s-</w:t>
      </w:r>
      <w:r w:rsidR="00301BE6">
        <w:rPr>
          <w:rFonts w:ascii="Times New Roman" w:eastAsia="Times New Roman" w:hAnsi="Times New Roman" w:cs="Times New Roman"/>
          <w:sz w:val="24"/>
          <w:szCs w:val="24"/>
        </w:rPr>
        <w:lastRenderedPageBreak/>
        <w:t xml:space="preserve">1980s. Is it not possible that dramatically increased infant exposures to aluminum and ethyl mercury--afar more potent neurotoxin than lead--might be significantly debilitating the post NCVIA generation? </w:t>
      </w:r>
    </w:p>
    <w:p w:rsidR="00F02E7A" w:rsidRDefault="00301BE6"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CDC claims that the cause of the sudden explosion in neuro</w:t>
      </w:r>
      <w:r w:rsidR="00EB4E9B">
        <w:rPr>
          <w:rFonts w:ascii="Times New Roman" w:eastAsia="Times New Roman" w:hAnsi="Times New Roman" w:cs="Times New Roman"/>
          <w:sz w:val="24"/>
          <w:szCs w:val="24"/>
        </w:rPr>
        <w:t>-</w:t>
      </w:r>
      <w:r>
        <w:rPr>
          <w:rFonts w:ascii="Times New Roman" w:eastAsia="Times New Roman" w:hAnsi="Times New Roman" w:cs="Times New Roman"/>
          <w:sz w:val="24"/>
          <w:szCs w:val="24"/>
        </w:rPr>
        <w:t>developmental disorders, autoimmune illnesses and food allergies that began in the late 1980s, is a mystery. However, vaccine court awards, manufacturers' package inserts and reams of peer-reviewed science all recognize th</w:t>
      </w:r>
      <w:r w:rsidR="00EB4E9B">
        <w:rPr>
          <w:rFonts w:ascii="Times New Roman" w:eastAsia="Times New Roman" w:hAnsi="Times New Roman" w:cs="Times New Roman"/>
          <w:sz w:val="24"/>
          <w:szCs w:val="24"/>
        </w:rPr>
        <w:t>a</w:t>
      </w:r>
      <w:r>
        <w:rPr>
          <w:rFonts w:ascii="Times New Roman" w:eastAsia="Times New Roman" w:hAnsi="Times New Roman" w:cs="Times New Roman"/>
          <w:sz w:val="24"/>
          <w:szCs w:val="24"/>
        </w:rPr>
        <w:t>t many of the chronic diseases that suddenly became epidemic in our children following the passage of NCVIA can be caused by vaccines or their ingredients. "The Institute of Medicine (now the National Academy of</w:t>
      </w:r>
      <w:r w:rsidR="00F02E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Medicine), the ultimate arbiter of federal vaccine safety science, has listed 155 diseases potentially associated with vaccination and scolded the</w:t>
      </w:r>
      <w:r w:rsidR="00F02E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CDC for failing to study 134 of them</w:t>
      </w:r>
      <w:r w:rsidR="00F02E7A">
        <w:rPr>
          <w:rFonts w:ascii="Times New Roman" w:eastAsia="Times New Roman" w:hAnsi="Times New Roman" w:cs="Times New Roman"/>
          <w:sz w:val="24"/>
          <w:szCs w:val="24"/>
        </w:rPr>
        <w:t xml:space="preserve">.  School nurses who have spent decades in their jobs say they are seeing the sickest generation in history. </w:t>
      </w:r>
      <w:r>
        <w:rPr>
          <w:rFonts w:ascii="Times New Roman" w:eastAsia="Times New Roman" w:hAnsi="Times New Roman" w:cs="Times New Roman"/>
          <w:sz w:val="24"/>
          <w:szCs w:val="24"/>
        </w:rPr>
        <w:t xml:space="preserve"> </w:t>
      </w:r>
      <w:r w:rsidR="00F02E7A">
        <w:rPr>
          <w:rFonts w:ascii="Times New Roman" w:eastAsia="Times New Roman" w:hAnsi="Times New Roman" w:cs="Times New Roman"/>
          <w:sz w:val="24"/>
          <w:szCs w:val="24"/>
        </w:rPr>
        <w:t xml:space="preserve">The epidemic has not proven a problem for the vaccine industry.  On the back end of the chronic disease explosion, vaccine companies like Merck are making a killing on the EpiPens, antidepressants, stimulants,, asthma inhalers and anti-seizure drugs. </w:t>
      </w:r>
    </w:p>
    <w:p w:rsidR="00F02E7A" w:rsidRDefault="00F02E7A"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"Instead of demanding blue-ribbon safety science and encouraging honest, open and responsible debate on t he science, liberal blogs shut down discussion on this key public health and civil rights issue, and silence cr</w:t>
      </w:r>
      <w:r w:rsidR="00DD160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tics, treating faith in vaccines as a religion; the heresy of questioning dogma meets with anathema and excommunication. </w:t>
      </w:r>
    </w:p>
    <w:p w:rsidR="005E51B1" w:rsidRDefault="00F02E7A"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core of liberalism is a healthy skepticism toward government and business. So why do vaccines met a mulligan?"</w:t>
      </w:r>
    </w:p>
    <w:p w:rsidR="00DD1608" w:rsidRDefault="00DD1608"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What is really appalling is that when real workers are successful in curing people, the Government at the behest of the AMA (The American Medical Association) throws them in jail!</w:t>
      </w:r>
    </w:p>
    <w:p w:rsidR="00DD1608" w:rsidRDefault="00DD1608"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my article </w:t>
      </w:r>
      <w:r w:rsidR="00875302">
        <w:rPr>
          <w:rFonts w:ascii="Times New Roman" w:eastAsia="Times New Roman" w:hAnsi="Times New Roman" w:cs="Times New Roman"/>
          <w:i/>
          <w:sz w:val="24"/>
          <w:szCs w:val="24"/>
        </w:rPr>
        <w:t xml:space="preserve">Dr.Ruth Drown, Crucified by the FDA and the AMA, </w:t>
      </w:r>
      <w:r w:rsidR="00875302">
        <w:rPr>
          <w:rFonts w:ascii="Times New Roman" w:eastAsia="Times New Roman" w:hAnsi="Times New Roman" w:cs="Times New Roman"/>
          <w:sz w:val="24"/>
          <w:szCs w:val="24"/>
        </w:rPr>
        <w:t>which article is in my website www.FreePythagorasTeachings.com, under Articles.</w:t>
      </w:r>
    </w:p>
    <w:p w:rsidR="00875302" w:rsidRDefault="00875302" w:rsidP="001E561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do not despair, after 2037</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we will see so many new changes that benefit the health and well being of humanity.</w:t>
      </w:r>
    </w:p>
    <w:p w:rsidR="00EF05CD" w:rsidRDefault="00EF05CD" w:rsidP="00EF05CD">
      <w:pPr>
        <w:jc w:val="center"/>
        <w:rPr>
          <w:rFonts w:ascii="Times New Roman" w:hAnsi="Times New Roman"/>
          <w:sz w:val="24"/>
          <w:szCs w:val="24"/>
        </w:rPr>
      </w:pPr>
      <w:r>
        <w:rPr>
          <w:rFonts w:ascii="Times New Roman" w:hAnsi="Times New Roman"/>
          <w:sz w:val="24"/>
          <w:szCs w:val="24"/>
        </w:rPr>
        <w:t>∆ ∆ ∆</w:t>
      </w:r>
    </w:p>
    <w:p w:rsidR="00EF05CD" w:rsidRDefault="00EF05CD" w:rsidP="00EF05CD">
      <w:pPr>
        <w:jc w:val="both"/>
        <w:rPr>
          <w:rFonts w:ascii="Times New Roman" w:hAnsi="Times New Roman"/>
          <w:sz w:val="24"/>
          <w:szCs w:val="24"/>
        </w:rPr>
      </w:pPr>
      <w:r>
        <w:rPr>
          <w:rFonts w:ascii="Calibri" w:hAnsi="Calibri"/>
          <w:noProof/>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299210" cy="1303020"/>
                    </a:xfrm>
                    <a:prstGeom prst="rect">
                      <a:avLst/>
                    </a:prstGeom>
                    <a:noFill/>
                  </pic:spPr>
                </pic:pic>
              </a:graphicData>
            </a:graphic>
          </wp:anchor>
        </w:drawing>
      </w:r>
      <w:r>
        <w:rPr>
          <w:rFonts w:ascii="Times New Roman" w:hAnsi="Times New Roman"/>
          <w:i/>
          <w:iCs/>
          <w:sz w:val="24"/>
          <w:szCs w:val="24"/>
        </w:rPr>
        <w:t xml:space="preserve">Marguerite dar Boggia </w:t>
      </w:r>
      <w:r>
        <w:rPr>
          <w:rFonts w:ascii="Times New Roman" w:hAnsi="Times New Roman"/>
          <w:sz w:val="24"/>
          <w:szCs w:val="24"/>
        </w:rPr>
        <w:t xml:space="preserve">is the former Secretary, Membership Secretary and Director for ISAR, the International Society for Astrological Research. She is  the former Publisher of Kosmos, the ISAR journal. She is a co-founder of UAC and its past Secretary and Director. Her goal is to serve humanity and the spiritual Hierarchy of our planet.  To that end, she offers </w:t>
      </w:r>
      <w:r>
        <w:rPr>
          <w:rFonts w:ascii="Times New Roman" w:hAnsi="Times New Roman"/>
          <w:b/>
          <w:bCs/>
          <w:sz w:val="24"/>
          <w:szCs w:val="24"/>
        </w:rPr>
        <w:t>FREE, online</w:t>
      </w:r>
      <w:r>
        <w:rPr>
          <w:rFonts w:ascii="Times New Roman" w:hAnsi="Times New Roman"/>
          <w:sz w:val="24"/>
          <w:szCs w:val="24"/>
        </w:rPr>
        <w:t xml:space="preserve">, </w:t>
      </w:r>
      <w:r>
        <w:rPr>
          <w:rFonts w:ascii="Times New Roman" w:hAnsi="Times New Roman"/>
          <w:b/>
          <w:bCs/>
          <w:sz w:val="24"/>
          <w:szCs w:val="24"/>
        </w:rPr>
        <w:t>three pages weekly</w:t>
      </w:r>
      <w:r>
        <w:rPr>
          <w:rFonts w:ascii="Times New Roman" w:hAnsi="Times New Roman"/>
          <w:sz w:val="24"/>
          <w:szCs w:val="24"/>
        </w:rPr>
        <w:t xml:space="preserve"> of the Ageless Wisdom Teachings as was known by </w:t>
      </w:r>
      <w:r>
        <w:rPr>
          <w:rFonts w:ascii="Times New Roman" w:hAnsi="Times New Roman"/>
          <w:b/>
          <w:bCs/>
          <w:sz w:val="24"/>
          <w:szCs w:val="24"/>
        </w:rPr>
        <w:t>Pythagoras</w:t>
      </w:r>
      <w:r>
        <w:rPr>
          <w:rFonts w:ascii="Times New Roman" w:hAnsi="Times New Roman"/>
          <w:sz w:val="24"/>
          <w:szCs w:val="24"/>
        </w:rPr>
        <w:t xml:space="preserve">. These teachings include information that </w:t>
      </w:r>
      <w:r>
        <w:rPr>
          <w:rFonts w:ascii="Times New Roman" w:hAnsi="Times New Roman"/>
          <w:b/>
          <w:bCs/>
          <w:sz w:val="24"/>
          <w:szCs w:val="24"/>
        </w:rPr>
        <w:t>Albert Einstein</w:t>
      </w:r>
      <w:r>
        <w:rPr>
          <w:rFonts w:ascii="Times New Roman" w:hAnsi="Times New Roman"/>
          <w:sz w:val="24"/>
          <w:szCs w:val="24"/>
        </w:rPr>
        <w:t xml:space="preserve"> received. To receive these studies, she can be contacted through her website </w:t>
      </w:r>
      <w:hyperlink r:id="rId11" w:history="1">
        <w:r>
          <w:rPr>
            <w:rStyle w:val="Hyperlink"/>
            <w:rFonts w:ascii="Times New Roman" w:hAnsi="Times New Roman"/>
            <w:b/>
            <w:bCs/>
            <w:sz w:val="24"/>
            <w:szCs w:val="24"/>
          </w:rPr>
          <w:t>www.FreePythagorasTeachings.com</w:t>
        </w:r>
      </w:hyperlink>
      <w:r>
        <w:rPr>
          <w:rFonts w:ascii="Times New Roman" w:hAnsi="Times New Roman"/>
          <w:sz w:val="24"/>
          <w:szCs w:val="24"/>
        </w:rPr>
        <w:t>, which website, she created at the age of 90. These teachings prepare us for discipleship.</w:t>
      </w:r>
    </w:p>
    <w:p w:rsidR="00EF05CD" w:rsidRDefault="00EF05CD" w:rsidP="00EF05CD">
      <w:pPr>
        <w:jc w:val="both"/>
        <w:rPr>
          <w:rFonts w:ascii="Times New Roman" w:hAnsi="Times New Roman"/>
          <w:sz w:val="24"/>
          <w:szCs w:val="24"/>
        </w:rPr>
      </w:pPr>
    </w:p>
    <w:p w:rsidR="003F6544" w:rsidRDefault="00EF05CD" w:rsidP="00EF05CD">
      <w:pPr>
        <w:jc w:val="both"/>
        <w:rPr>
          <w:rFonts w:ascii="Times New Roman" w:hAnsi="Times New Roman"/>
          <w:sz w:val="24"/>
          <w:szCs w:val="24"/>
        </w:rPr>
      </w:pPr>
      <w:r>
        <w:rPr>
          <w:rFonts w:ascii="Times New Roman" w:hAnsi="Times New Roman"/>
          <w:sz w:val="24"/>
          <w:szCs w:val="24"/>
        </w:rPr>
        <w:t>References:</w:t>
      </w:r>
      <w:r w:rsidR="003F6544">
        <w:rPr>
          <w:rFonts w:ascii="Times New Roman" w:hAnsi="Times New Roman"/>
          <w:sz w:val="24"/>
          <w:szCs w:val="24"/>
        </w:rPr>
        <w:t xml:space="preserve"> </w:t>
      </w:r>
    </w:p>
    <w:p w:rsidR="003F6544" w:rsidRDefault="00042B57" w:rsidP="00042B57">
      <w:pPr>
        <w:pStyle w:val="Heading1"/>
        <w:spacing w:before="0" w:beforeAutospacing="0" w:after="0" w:afterAutospacing="0"/>
        <w:rPr>
          <w:b w:val="0"/>
          <w:color w:val="0000FF"/>
          <w:sz w:val="24"/>
          <w:szCs w:val="24"/>
        </w:rPr>
      </w:pPr>
      <w:r>
        <w:rPr>
          <w:b w:val="0"/>
          <w:sz w:val="24"/>
          <w:szCs w:val="24"/>
          <w:vertAlign w:val="superscript"/>
        </w:rPr>
        <w:lastRenderedPageBreak/>
        <w:t>1</w:t>
      </w:r>
      <w:r w:rsidR="003F6544" w:rsidRPr="00042B57">
        <w:rPr>
          <w:b w:val="0"/>
          <w:sz w:val="24"/>
          <w:szCs w:val="24"/>
        </w:rPr>
        <w:t>Kennedy, Jr. Robert F</w:t>
      </w:r>
      <w:r w:rsidR="003F6544" w:rsidRPr="00042B57">
        <w:rPr>
          <w:b w:val="0"/>
          <w:i/>
          <w:sz w:val="24"/>
          <w:szCs w:val="24"/>
        </w:rPr>
        <w:t>. Vaccines and the Liberal Mind</w:t>
      </w:r>
      <w:r w:rsidR="003F6544" w:rsidRPr="00042B57">
        <w:rPr>
          <w:sz w:val="24"/>
          <w:szCs w:val="24"/>
        </w:rPr>
        <w:t xml:space="preserve"> </w:t>
      </w:r>
      <w:r w:rsidR="003F6544" w:rsidRPr="00042B57">
        <w:rPr>
          <w:b w:val="0"/>
          <w:color w:val="0000FF"/>
          <w:sz w:val="24"/>
          <w:szCs w:val="24"/>
        </w:rPr>
        <w:t xml:space="preserve">By Robert F. Kennedy Jr. </w:t>
      </w:r>
    </w:p>
    <w:p w:rsidR="00042B57" w:rsidRPr="0076684F" w:rsidRDefault="00042B57" w:rsidP="00042B57">
      <w:pPr>
        <w:jc w:val="both"/>
        <w:rPr>
          <w:sz w:val="24"/>
          <w:szCs w:val="24"/>
        </w:rPr>
      </w:pPr>
      <w:r>
        <w:rPr>
          <w:b/>
          <w:color w:val="0000FF"/>
          <w:sz w:val="24"/>
          <w:szCs w:val="24"/>
          <w:vertAlign w:val="superscript"/>
        </w:rPr>
        <w:t>2</w:t>
      </w:r>
      <w:r>
        <w:rPr>
          <w:b/>
          <w:color w:val="0000FF"/>
          <w:sz w:val="24"/>
          <w:szCs w:val="24"/>
        </w:rPr>
        <w:t>dar Boggia, Marguerite,</w:t>
      </w:r>
      <w:r w:rsidRPr="00042B57">
        <w:rPr>
          <w:i/>
          <w:sz w:val="24"/>
          <w:szCs w:val="24"/>
        </w:rPr>
        <w:t xml:space="preserve"> </w:t>
      </w:r>
      <w:r w:rsidRPr="00BB5BD6">
        <w:rPr>
          <w:i/>
          <w:sz w:val="24"/>
          <w:szCs w:val="24"/>
        </w:rPr>
        <w:t>L</w:t>
      </w:r>
      <w:r w:rsidRPr="0076684F">
        <w:rPr>
          <w:i/>
          <w:sz w:val="24"/>
          <w:szCs w:val="24"/>
        </w:rPr>
        <w:t>ife in the Golden Age of the Gemini Decanate of the Aquarian Age</w:t>
      </w:r>
      <w:r>
        <w:rPr>
          <w:i/>
          <w:sz w:val="24"/>
          <w:szCs w:val="24"/>
        </w:rPr>
        <w:t xml:space="preserve"> </w:t>
      </w:r>
      <w:r w:rsidRPr="0076684F">
        <w:rPr>
          <w:sz w:val="24"/>
          <w:szCs w:val="24"/>
        </w:rPr>
        <w:t>under Articles o</w:t>
      </w:r>
      <w:r>
        <w:rPr>
          <w:i/>
          <w:sz w:val="24"/>
          <w:szCs w:val="24"/>
        </w:rPr>
        <w:t xml:space="preserve">f </w:t>
      </w:r>
      <w:r>
        <w:rPr>
          <w:sz w:val="24"/>
          <w:szCs w:val="24"/>
        </w:rPr>
        <w:t>www.FreePythagorasTeachings.com</w:t>
      </w:r>
    </w:p>
    <w:p w:rsidR="00042B57" w:rsidRPr="0076684F" w:rsidRDefault="00042B57" w:rsidP="00042B57">
      <w:pPr>
        <w:jc w:val="both"/>
        <w:rPr>
          <w:rFonts w:ascii="Times New Roman" w:hAnsi="Times New Roman"/>
          <w:i/>
          <w:sz w:val="24"/>
          <w:szCs w:val="24"/>
        </w:rPr>
      </w:pPr>
    </w:p>
    <w:p w:rsidR="00042B57" w:rsidRPr="0076684F" w:rsidRDefault="00042B57" w:rsidP="00042B57">
      <w:pPr>
        <w:jc w:val="both"/>
        <w:rPr>
          <w:i/>
          <w:sz w:val="24"/>
          <w:szCs w:val="24"/>
        </w:rPr>
      </w:pPr>
    </w:p>
    <w:p w:rsidR="00042B57" w:rsidRDefault="00042B57" w:rsidP="00042B57">
      <w:pPr>
        <w:pStyle w:val="Heading1"/>
        <w:spacing w:before="0" w:beforeAutospacing="0" w:after="0" w:afterAutospacing="0"/>
        <w:rPr>
          <w:b w:val="0"/>
          <w:color w:val="0000FF"/>
          <w:sz w:val="24"/>
          <w:szCs w:val="24"/>
        </w:rPr>
      </w:pPr>
      <w:r>
        <w:rPr>
          <w:b w:val="0"/>
          <w:color w:val="0000FF"/>
          <w:sz w:val="24"/>
          <w:szCs w:val="24"/>
        </w:rPr>
        <w:t xml:space="preserve"> </w:t>
      </w:r>
    </w:p>
    <w:p w:rsidR="00042B57" w:rsidRPr="00042B57" w:rsidRDefault="00042B57" w:rsidP="00042B57">
      <w:pPr>
        <w:pStyle w:val="Heading1"/>
        <w:spacing w:before="0" w:beforeAutospacing="0" w:after="0" w:afterAutospacing="0"/>
        <w:rPr>
          <w:b w:val="0"/>
          <w:sz w:val="24"/>
          <w:szCs w:val="24"/>
        </w:rPr>
      </w:pPr>
    </w:p>
    <w:p w:rsidR="00EF05CD" w:rsidRPr="003F6544" w:rsidRDefault="00EF05CD" w:rsidP="001E561B">
      <w:pPr>
        <w:jc w:val="both"/>
        <w:rPr>
          <w:rFonts w:ascii="Times New Roman" w:eastAsia="Times New Roman" w:hAnsi="Times New Roman" w:cs="Times New Roman"/>
        </w:rPr>
      </w:pPr>
    </w:p>
    <w:tbl>
      <w:tblPr>
        <w:tblW w:w="4000" w:type="pct"/>
        <w:jc w:val="center"/>
        <w:tblCellSpacing w:w="0" w:type="dxa"/>
        <w:shd w:val="clear" w:color="auto" w:fill="000000"/>
        <w:tblCellMar>
          <w:left w:w="0" w:type="dxa"/>
          <w:right w:w="0" w:type="dxa"/>
        </w:tblCellMar>
        <w:tblLook w:val="04A0"/>
      </w:tblPr>
      <w:tblGrid>
        <w:gridCol w:w="7488"/>
      </w:tblGrid>
      <w:tr w:rsidR="001E561B" w:rsidRPr="001E561B" w:rsidTr="005E51B1">
        <w:trPr>
          <w:tblCellSpacing w:w="0" w:type="dxa"/>
          <w:jc w:val="center"/>
        </w:trPr>
        <w:tc>
          <w:tcPr>
            <w:tcW w:w="5000" w:type="pct"/>
            <w:shd w:val="clear" w:color="auto" w:fill="000000"/>
            <w:vAlign w:val="center"/>
            <w:hideMark/>
          </w:tcPr>
          <w:p w:rsidR="001E561B" w:rsidRPr="001E561B" w:rsidRDefault="001E561B" w:rsidP="001E561B">
            <w:pPr>
              <w:spacing w:before="100" w:beforeAutospacing="1" w:after="100" w:afterAutospacing="1" w:line="240" w:lineRule="auto"/>
              <w:jc w:val="center"/>
              <w:rPr>
                <w:rFonts w:ascii="Arial" w:eastAsia="Times New Roman" w:hAnsi="Arial" w:cs="Arial"/>
                <w:color w:val="000000"/>
                <w:sz w:val="24"/>
                <w:szCs w:val="24"/>
              </w:rPr>
            </w:pPr>
          </w:p>
        </w:tc>
      </w:tr>
    </w:tbl>
    <w:p w:rsidR="001E561B" w:rsidRPr="001E561B" w:rsidRDefault="001E561B" w:rsidP="001E561B">
      <w:pPr>
        <w:spacing w:line="240" w:lineRule="auto"/>
        <w:jc w:val="center"/>
        <w:rPr>
          <w:rFonts w:ascii="Times New Roman" w:eastAsia="Times New Roman" w:hAnsi="Times New Roman" w:cs="Times New Roman"/>
          <w:vanish/>
          <w:sz w:val="24"/>
          <w:szCs w:val="24"/>
        </w:rPr>
      </w:pPr>
    </w:p>
    <w:p w:rsidR="001E561B" w:rsidRPr="001E561B" w:rsidRDefault="001E561B" w:rsidP="001E561B">
      <w:pPr>
        <w:spacing w:line="240" w:lineRule="auto"/>
        <w:jc w:val="center"/>
        <w:rPr>
          <w:rFonts w:ascii="Times New Roman" w:eastAsia="Times New Roman" w:hAnsi="Times New Roman" w:cs="Times New Roman"/>
          <w:vanish/>
          <w:sz w:val="24"/>
          <w:szCs w:val="24"/>
        </w:rPr>
      </w:pPr>
    </w:p>
    <w:tbl>
      <w:tblPr>
        <w:tblW w:w="4000" w:type="pct"/>
        <w:jc w:val="center"/>
        <w:tblCellSpacing w:w="0" w:type="dxa"/>
        <w:shd w:val="clear" w:color="auto" w:fill="000000"/>
        <w:tblCellMar>
          <w:left w:w="0" w:type="dxa"/>
          <w:right w:w="0" w:type="dxa"/>
        </w:tblCellMar>
        <w:tblLook w:val="04A0"/>
      </w:tblPr>
      <w:tblGrid>
        <w:gridCol w:w="7488"/>
      </w:tblGrid>
      <w:tr w:rsidR="001E561B" w:rsidRPr="001E561B" w:rsidTr="001E561B">
        <w:trPr>
          <w:tblCellSpacing w:w="0" w:type="dxa"/>
          <w:jc w:val="center"/>
        </w:trPr>
        <w:tc>
          <w:tcPr>
            <w:tcW w:w="4000" w:type="pct"/>
            <w:shd w:val="clear" w:color="auto" w:fill="000000"/>
            <w:vAlign w:val="center"/>
            <w:hideMark/>
          </w:tcPr>
          <w:p w:rsidR="001E561B" w:rsidRPr="001E561B" w:rsidRDefault="001E561B" w:rsidP="001E561B">
            <w:pPr>
              <w:spacing w:before="100" w:beforeAutospacing="1" w:after="100" w:afterAutospacing="1" w:line="240" w:lineRule="auto"/>
              <w:jc w:val="center"/>
              <w:rPr>
                <w:rFonts w:ascii="Arial" w:eastAsia="Times New Roman" w:hAnsi="Arial" w:cs="Arial"/>
                <w:color w:val="000000"/>
                <w:sz w:val="24"/>
                <w:szCs w:val="24"/>
              </w:rPr>
            </w:pPr>
          </w:p>
        </w:tc>
      </w:tr>
    </w:tbl>
    <w:p w:rsidR="001E561B" w:rsidRPr="001E561B" w:rsidRDefault="001E561B" w:rsidP="001E561B">
      <w:pPr>
        <w:spacing w:line="240" w:lineRule="auto"/>
        <w:jc w:val="center"/>
        <w:rPr>
          <w:rFonts w:ascii="Times New Roman" w:eastAsia="Times New Roman" w:hAnsi="Times New Roman" w:cs="Times New Roman"/>
          <w:vanish/>
          <w:sz w:val="24"/>
          <w:szCs w:val="24"/>
        </w:rPr>
      </w:pPr>
    </w:p>
    <w:tbl>
      <w:tblPr>
        <w:tblW w:w="3900" w:type="pct"/>
        <w:jc w:val="center"/>
        <w:tblCellSpacing w:w="15" w:type="dxa"/>
        <w:tblCellMar>
          <w:top w:w="15" w:type="dxa"/>
          <w:left w:w="15" w:type="dxa"/>
          <w:bottom w:w="15" w:type="dxa"/>
          <w:right w:w="15" w:type="dxa"/>
        </w:tblCellMar>
        <w:tblLook w:val="04A0"/>
      </w:tblPr>
      <w:tblGrid>
        <w:gridCol w:w="7371"/>
      </w:tblGrid>
      <w:tr w:rsidR="001E561B" w:rsidRPr="001E561B" w:rsidTr="001E561B">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1665"/>
              <w:gridCol w:w="2142"/>
              <w:gridCol w:w="1309"/>
              <w:gridCol w:w="1437"/>
            </w:tblGrid>
            <w:tr w:rsidR="001E561B" w:rsidRPr="001E561B">
              <w:trPr>
                <w:tblCellSpacing w:w="15" w:type="dxa"/>
                <w:jc w:val="center"/>
              </w:trPr>
              <w:tc>
                <w:tcPr>
                  <w:tcW w:w="1620" w:type="dxa"/>
                  <w:vAlign w:val="center"/>
                  <w:hideMark/>
                </w:tcPr>
                <w:p w:rsidR="001E561B" w:rsidRPr="001E561B" w:rsidRDefault="001E561B" w:rsidP="001E561B">
                  <w:pPr>
                    <w:spacing w:line="240" w:lineRule="auto"/>
                    <w:rPr>
                      <w:rFonts w:ascii="Arial" w:eastAsia="Times New Roman" w:hAnsi="Arial" w:cs="Arial"/>
                      <w:color w:val="000000"/>
                      <w:sz w:val="24"/>
                      <w:szCs w:val="24"/>
                    </w:rPr>
                  </w:pPr>
                </w:p>
              </w:tc>
              <w:tc>
                <w:tcPr>
                  <w:tcW w:w="2112" w:type="dxa"/>
                  <w:vAlign w:val="center"/>
                  <w:hideMark/>
                </w:tcPr>
                <w:p w:rsidR="001E561B" w:rsidRPr="001E561B" w:rsidRDefault="001E561B" w:rsidP="001E561B">
                  <w:pPr>
                    <w:spacing w:before="100" w:beforeAutospacing="1" w:after="100" w:afterAutospacing="1" w:line="240" w:lineRule="auto"/>
                    <w:jc w:val="center"/>
                    <w:rPr>
                      <w:rFonts w:ascii="Arial" w:eastAsia="Times New Roman" w:hAnsi="Arial" w:cs="Arial"/>
                      <w:color w:val="000000"/>
                      <w:sz w:val="24"/>
                      <w:szCs w:val="24"/>
                    </w:rPr>
                  </w:pPr>
                </w:p>
              </w:tc>
              <w:tc>
                <w:tcPr>
                  <w:tcW w:w="0" w:type="auto"/>
                  <w:vAlign w:val="center"/>
                  <w:hideMark/>
                </w:tcPr>
                <w:p w:rsidR="001E561B" w:rsidRPr="001E561B" w:rsidRDefault="001E561B" w:rsidP="001E561B">
                  <w:pPr>
                    <w:spacing w:line="240" w:lineRule="auto"/>
                    <w:rPr>
                      <w:rFonts w:ascii="Arial" w:eastAsia="Times New Roman" w:hAnsi="Arial" w:cs="Arial"/>
                      <w:color w:val="000000"/>
                      <w:sz w:val="24"/>
                      <w:szCs w:val="24"/>
                    </w:rPr>
                  </w:pPr>
                </w:p>
              </w:tc>
              <w:tc>
                <w:tcPr>
                  <w:tcW w:w="1392" w:type="dxa"/>
                  <w:vAlign w:val="center"/>
                  <w:hideMark/>
                </w:tcPr>
                <w:p w:rsidR="001E561B" w:rsidRPr="001E561B" w:rsidRDefault="001E561B" w:rsidP="001E561B">
                  <w:pPr>
                    <w:spacing w:before="100" w:beforeAutospacing="1" w:after="100" w:afterAutospacing="1" w:line="240" w:lineRule="auto"/>
                    <w:jc w:val="center"/>
                    <w:rPr>
                      <w:rFonts w:ascii="Arial" w:eastAsia="Times New Roman" w:hAnsi="Arial" w:cs="Arial"/>
                      <w:color w:val="000000"/>
                      <w:sz w:val="24"/>
                      <w:szCs w:val="24"/>
                    </w:rPr>
                  </w:pPr>
                </w:p>
              </w:tc>
            </w:tr>
          </w:tbl>
          <w:p w:rsidR="001E561B" w:rsidRPr="001E561B" w:rsidRDefault="001E561B" w:rsidP="001E561B">
            <w:pPr>
              <w:spacing w:line="240" w:lineRule="auto"/>
              <w:jc w:val="center"/>
              <w:rPr>
                <w:rFonts w:ascii="Times New Roman" w:eastAsia="Times New Roman" w:hAnsi="Times New Roman" w:cs="Times New Roman"/>
                <w:vanish/>
                <w:sz w:val="36"/>
                <w:szCs w:val="36"/>
              </w:rPr>
            </w:pPr>
          </w:p>
          <w:p w:rsidR="001E561B" w:rsidRPr="001E561B" w:rsidRDefault="001E561B" w:rsidP="001E561B">
            <w:pPr>
              <w:spacing w:before="100" w:beforeAutospacing="1" w:after="100" w:afterAutospacing="1" w:line="240" w:lineRule="auto"/>
              <w:jc w:val="center"/>
              <w:rPr>
                <w:rFonts w:ascii="Times New Roman" w:eastAsia="Times New Roman" w:hAnsi="Times New Roman" w:cs="Times New Roman"/>
                <w:sz w:val="24"/>
                <w:szCs w:val="24"/>
              </w:rPr>
            </w:pPr>
          </w:p>
        </w:tc>
      </w:tr>
    </w:tbl>
    <w:p w:rsidR="001E561B" w:rsidRPr="001E561B" w:rsidRDefault="001E561B" w:rsidP="001E561B">
      <w:pPr>
        <w:spacing w:line="240" w:lineRule="auto"/>
        <w:jc w:val="center"/>
        <w:rPr>
          <w:rFonts w:ascii="Times New Roman" w:eastAsia="Times New Roman" w:hAnsi="Times New Roman" w:cs="Times New Roman"/>
          <w:vanish/>
          <w:sz w:val="24"/>
          <w:szCs w:val="24"/>
        </w:rPr>
      </w:pPr>
    </w:p>
    <w:tbl>
      <w:tblPr>
        <w:tblW w:w="3900" w:type="pct"/>
        <w:jc w:val="center"/>
        <w:tblCellSpacing w:w="15" w:type="dxa"/>
        <w:tblCellMar>
          <w:top w:w="15" w:type="dxa"/>
          <w:left w:w="15" w:type="dxa"/>
          <w:bottom w:w="15" w:type="dxa"/>
          <w:right w:w="15" w:type="dxa"/>
        </w:tblCellMar>
        <w:tblLook w:val="04A0"/>
      </w:tblPr>
      <w:tblGrid>
        <w:gridCol w:w="7371"/>
      </w:tblGrid>
      <w:tr w:rsidR="001E561B" w:rsidRPr="001E561B" w:rsidTr="001E561B">
        <w:trPr>
          <w:tblCellSpacing w:w="15" w:type="dxa"/>
          <w:jc w:val="center"/>
        </w:trPr>
        <w:tc>
          <w:tcPr>
            <w:tcW w:w="0" w:type="auto"/>
            <w:vAlign w:val="center"/>
            <w:hideMark/>
          </w:tcPr>
          <w:p w:rsidR="001E561B" w:rsidRPr="001E561B" w:rsidRDefault="001E561B" w:rsidP="001E561B">
            <w:pPr>
              <w:spacing w:before="100" w:beforeAutospacing="1" w:after="100" w:afterAutospacing="1" w:line="240" w:lineRule="auto"/>
              <w:rPr>
                <w:rFonts w:ascii="Times New Roman" w:eastAsia="Times New Roman" w:hAnsi="Times New Roman" w:cs="Times New Roman"/>
                <w:sz w:val="24"/>
                <w:szCs w:val="24"/>
              </w:rPr>
            </w:pPr>
          </w:p>
        </w:tc>
      </w:tr>
      <w:tr w:rsidR="001E561B" w:rsidRPr="001E561B" w:rsidTr="001E561B">
        <w:trPr>
          <w:tblCellSpacing w:w="15" w:type="dxa"/>
          <w:jc w:val="center"/>
        </w:trPr>
        <w:tc>
          <w:tcPr>
            <w:tcW w:w="0" w:type="auto"/>
            <w:vAlign w:val="center"/>
            <w:hideMark/>
          </w:tcPr>
          <w:p w:rsidR="001E561B" w:rsidRPr="001E561B" w:rsidRDefault="001E561B" w:rsidP="00DD1608">
            <w:pPr>
              <w:spacing w:before="100" w:beforeAutospacing="1" w:after="100" w:afterAutospacing="1" w:line="240" w:lineRule="auto"/>
              <w:jc w:val="center"/>
              <w:rPr>
                <w:rFonts w:ascii="Times New Roman" w:eastAsia="Times New Roman" w:hAnsi="Times New Roman" w:cs="Times New Roman"/>
                <w:sz w:val="24"/>
                <w:szCs w:val="24"/>
              </w:rPr>
            </w:pPr>
            <w:r w:rsidRPr="001E561B">
              <w:rPr>
                <w:rFonts w:ascii="Times New Roman" w:eastAsia="Times New Roman" w:hAnsi="Times New Roman" w:cs="Times New Roman"/>
                <w:sz w:val="24"/>
                <w:szCs w:val="24"/>
              </w:rPr>
              <w:t xml:space="preserve">                   </w:t>
            </w:r>
          </w:p>
        </w:tc>
      </w:tr>
    </w:tbl>
    <w:p w:rsidR="001E561B" w:rsidRPr="001E561B" w:rsidRDefault="001E561B" w:rsidP="001E561B">
      <w:pPr>
        <w:spacing w:line="240" w:lineRule="auto"/>
        <w:jc w:val="center"/>
        <w:rPr>
          <w:rFonts w:ascii="Times New Roman" w:eastAsia="Times New Roman" w:hAnsi="Times New Roman" w:cs="Times New Roman"/>
          <w:sz w:val="24"/>
          <w:szCs w:val="24"/>
        </w:rPr>
      </w:pPr>
      <w:r w:rsidRPr="001E561B">
        <w:rPr>
          <w:rFonts w:ascii="Times New Roman" w:eastAsia="Times New Roman" w:hAnsi="Times New Roman" w:cs="Times New Roman"/>
          <w:sz w:val="24"/>
          <w:szCs w:val="24"/>
        </w:rPr>
        <w:t> </w:t>
      </w:r>
    </w:p>
    <w:sectPr w:rsidR="001E561B" w:rsidRPr="001E561B" w:rsidSect="0017179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D80" w:rsidRDefault="00E33D80" w:rsidP="008E4416">
      <w:pPr>
        <w:spacing w:line="240" w:lineRule="auto"/>
      </w:pPr>
      <w:r>
        <w:separator/>
      </w:r>
    </w:p>
  </w:endnote>
  <w:endnote w:type="continuationSeparator" w:id="1">
    <w:p w:rsidR="00E33D80" w:rsidRDefault="00E33D80" w:rsidP="008E44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16" w:rsidRDefault="008E44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34030"/>
      <w:docPartObj>
        <w:docPartGallery w:val="Page Numbers (Bottom of Page)"/>
        <w:docPartUnique/>
      </w:docPartObj>
    </w:sdtPr>
    <w:sdtContent>
      <w:p w:rsidR="008E4416" w:rsidRDefault="0022264A">
        <w:pPr>
          <w:pStyle w:val="Footer"/>
          <w:jc w:val="center"/>
        </w:pPr>
        <w:fldSimple w:instr=" PAGE   \* MERGEFORMAT ">
          <w:r w:rsidR="00A23CD9">
            <w:rPr>
              <w:noProof/>
            </w:rPr>
            <w:t>1</w:t>
          </w:r>
        </w:fldSimple>
      </w:p>
    </w:sdtContent>
  </w:sdt>
  <w:p w:rsidR="008E4416" w:rsidRDefault="008E44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16" w:rsidRDefault="008E44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D80" w:rsidRDefault="00E33D80" w:rsidP="008E4416">
      <w:pPr>
        <w:spacing w:line="240" w:lineRule="auto"/>
      </w:pPr>
      <w:r>
        <w:separator/>
      </w:r>
    </w:p>
  </w:footnote>
  <w:footnote w:type="continuationSeparator" w:id="1">
    <w:p w:rsidR="00E33D80" w:rsidRDefault="00E33D80" w:rsidP="008E44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16" w:rsidRDefault="008E44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16" w:rsidRDefault="008E44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16" w:rsidRDefault="008E44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716A3"/>
    <w:multiLevelType w:val="hybridMultilevel"/>
    <w:tmpl w:val="610EB7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561B"/>
    <w:rsid w:val="00034C10"/>
    <w:rsid w:val="00042B57"/>
    <w:rsid w:val="00171797"/>
    <w:rsid w:val="001E561B"/>
    <w:rsid w:val="0022264A"/>
    <w:rsid w:val="00267067"/>
    <w:rsid w:val="00286A2C"/>
    <w:rsid w:val="00301BE6"/>
    <w:rsid w:val="003353A0"/>
    <w:rsid w:val="003F6544"/>
    <w:rsid w:val="00406902"/>
    <w:rsid w:val="005B65CC"/>
    <w:rsid w:val="005C037B"/>
    <w:rsid w:val="005E51B1"/>
    <w:rsid w:val="00716EA2"/>
    <w:rsid w:val="00757ABB"/>
    <w:rsid w:val="007F6473"/>
    <w:rsid w:val="00875302"/>
    <w:rsid w:val="008E4416"/>
    <w:rsid w:val="00A23CD9"/>
    <w:rsid w:val="00A3721C"/>
    <w:rsid w:val="00B338DB"/>
    <w:rsid w:val="00C17C72"/>
    <w:rsid w:val="00C96906"/>
    <w:rsid w:val="00DA1B47"/>
    <w:rsid w:val="00DD1608"/>
    <w:rsid w:val="00E321B4"/>
    <w:rsid w:val="00E33D80"/>
    <w:rsid w:val="00EB4E9B"/>
    <w:rsid w:val="00EF05CD"/>
    <w:rsid w:val="00F02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paragraph" w:styleId="Heading1">
    <w:name w:val="heading 1"/>
    <w:basedOn w:val="Normal"/>
    <w:link w:val="Heading1Char"/>
    <w:uiPriority w:val="9"/>
    <w:qFormat/>
    <w:rsid w:val="00042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42B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2B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56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E561B"/>
    <w:rPr>
      <w:color w:val="0000FF"/>
      <w:u w:val="single"/>
    </w:rPr>
  </w:style>
  <w:style w:type="character" w:customStyle="1" w:styleId="st-label">
    <w:name w:val="st-label"/>
    <w:basedOn w:val="DefaultParagraphFont"/>
    <w:rsid w:val="001E561B"/>
  </w:style>
  <w:style w:type="character" w:styleId="Emphasis">
    <w:name w:val="Emphasis"/>
    <w:basedOn w:val="DefaultParagraphFont"/>
    <w:uiPriority w:val="20"/>
    <w:qFormat/>
    <w:rsid w:val="001E561B"/>
    <w:rPr>
      <w:i/>
      <w:iCs/>
    </w:rPr>
  </w:style>
  <w:style w:type="character" w:styleId="Strong">
    <w:name w:val="Strong"/>
    <w:basedOn w:val="DefaultParagraphFont"/>
    <w:uiPriority w:val="22"/>
    <w:qFormat/>
    <w:rsid w:val="001E561B"/>
    <w:rPr>
      <w:b/>
      <w:bCs/>
    </w:rPr>
  </w:style>
  <w:style w:type="character" w:customStyle="1" w:styleId="username">
    <w:name w:val="username"/>
    <w:basedOn w:val="DefaultParagraphFont"/>
    <w:rsid w:val="001E561B"/>
  </w:style>
  <w:style w:type="paragraph" w:styleId="z-TopofForm">
    <w:name w:val="HTML Top of Form"/>
    <w:basedOn w:val="Normal"/>
    <w:next w:val="Normal"/>
    <w:link w:val="z-TopofFormChar"/>
    <w:hidden/>
    <w:uiPriority w:val="99"/>
    <w:semiHidden/>
    <w:unhideWhenUsed/>
    <w:rsid w:val="001E561B"/>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E56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E561B"/>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E561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E5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1B"/>
    <w:rPr>
      <w:rFonts w:ascii="Tahoma" w:hAnsi="Tahoma" w:cs="Tahoma"/>
      <w:sz w:val="16"/>
      <w:szCs w:val="16"/>
    </w:rPr>
  </w:style>
  <w:style w:type="paragraph" w:styleId="ListParagraph">
    <w:name w:val="List Paragraph"/>
    <w:basedOn w:val="Normal"/>
    <w:uiPriority w:val="34"/>
    <w:qFormat/>
    <w:rsid w:val="003F6544"/>
    <w:pPr>
      <w:ind w:left="720"/>
      <w:contextualSpacing/>
    </w:pPr>
  </w:style>
  <w:style w:type="character" w:customStyle="1" w:styleId="Heading1Char">
    <w:name w:val="Heading 1 Char"/>
    <w:basedOn w:val="DefaultParagraphFont"/>
    <w:link w:val="Heading1"/>
    <w:uiPriority w:val="9"/>
    <w:rsid w:val="00042B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42B5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2B57"/>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8E441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4416"/>
  </w:style>
  <w:style w:type="paragraph" w:styleId="Footer">
    <w:name w:val="footer"/>
    <w:basedOn w:val="Normal"/>
    <w:link w:val="FooterChar"/>
    <w:uiPriority w:val="99"/>
    <w:unhideWhenUsed/>
    <w:rsid w:val="008E4416"/>
    <w:pPr>
      <w:tabs>
        <w:tab w:val="center" w:pos="4680"/>
        <w:tab w:val="right" w:pos="9360"/>
      </w:tabs>
      <w:spacing w:line="240" w:lineRule="auto"/>
    </w:pPr>
  </w:style>
  <w:style w:type="character" w:customStyle="1" w:styleId="FooterChar">
    <w:name w:val="Footer Char"/>
    <w:basedOn w:val="DefaultParagraphFont"/>
    <w:link w:val="Footer"/>
    <w:uiPriority w:val="99"/>
    <w:rsid w:val="008E4416"/>
  </w:style>
</w:styles>
</file>

<file path=word/webSettings.xml><?xml version="1.0" encoding="utf-8"?>
<w:webSettings xmlns:r="http://schemas.openxmlformats.org/officeDocument/2006/relationships" xmlns:w="http://schemas.openxmlformats.org/wordprocessingml/2006/main">
  <w:divs>
    <w:div w:id="1627857359">
      <w:bodyDiv w:val="1"/>
      <w:marLeft w:val="0"/>
      <w:marRight w:val="0"/>
      <w:marTop w:val="0"/>
      <w:marBottom w:val="0"/>
      <w:divBdr>
        <w:top w:val="none" w:sz="0" w:space="0" w:color="auto"/>
        <w:left w:val="none" w:sz="0" w:space="0" w:color="auto"/>
        <w:bottom w:val="none" w:sz="0" w:space="0" w:color="auto"/>
        <w:right w:val="none" w:sz="0" w:space="0" w:color="auto"/>
      </w:divBdr>
      <w:divsChild>
        <w:div w:id="767971167">
          <w:marLeft w:val="0"/>
          <w:marRight w:val="0"/>
          <w:marTop w:val="0"/>
          <w:marBottom w:val="0"/>
          <w:divBdr>
            <w:top w:val="none" w:sz="0" w:space="0" w:color="auto"/>
            <w:left w:val="none" w:sz="0" w:space="0" w:color="auto"/>
            <w:bottom w:val="none" w:sz="0" w:space="0" w:color="auto"/>
            <w:right w:val="none" w:sz="0" w:space="0" w:color="auto"/>
          </w:divBdr>
          <w:divsChild>
            <w:div w:id="226115680">
              <w:marLeft w:val="0"/>
              <w:marRight w:val="0"/>
              <w:marTop w:val="0"/>
              <w:marBottom w:val="0"/>
              <w:divBdr>
                <w:top w:val="none" w:sz="0" w:space="0" w:color="auto"/>
                <w:left w:val="none" w:sz="0" w:space="0" w:color="auto"/>
                <w:bottom w:val="none" w:sz="0" w:space="0" w:color="auto"/>
                <w:right w:val="none" w:sz="0" w:space="0" w:color="auto"/>
              </w:divBdr>
            </w:div>
            <w:div w:id="771245989">
              <w:marLeft w:val="0"/>
              <w:marRight w:val="0"/>
              <w:marTop w:val="0"/>
              <w:marBottom w:val="0"/>
              <w:divBdr>
                <w:top w:val="none" w:sz="0" w:space="0" w:color="auto"/>
                <w:left w:val="none" w:sz="0" w:space="0" w:color="auto"/>
                <w:bottom w:val="none" w:sz="0" w:space="0" w:color="auto"/>
                <w:right w:val="none" w:sz="0" w:space="0" w:color="auto"/>
              </w:divBdr>
            </w:div>
            <w:div w:id="737214934">
              <w:marLeft w:val="0"/>
              <w:marRight w:val="0"/>
              <w:marTop w:val="0"/>
              <w:marBottom w:val="0"/>
              <w:divBdr>
                <w:top w:val="none" w:sz="0" w:space="0" w:color="auto"/>
                <w:left w:val="none" w:sz="0" w:space="0" w:color="auto"/>
                <w:bottom w:val="none" w:sz="0" w:space="0" w:color="auto"/>
                <w:right w:val="none" w:sz="0" w:space="0" w:color="auto"/>
              </w:divBdr>
            </w:div>
            <w:div w:id="2001543812">
              <w:marLeft w:val="0"/>
              <w:marRight w:val="0"/>
              <w:marTop w:val="0"/>
              <w:marBottom w:val="0"/>
              <w:divBdr>
                <w:top w:val="none" w:sz="0" w:space="0" w:color="auto"/>
                <w:left w:val="none" w:sz="0" w:space="0" w:color="auto"/>
                <w:bottom w:val="none" w:sz="0" w:space="0" w:color="auto"/>
                <w:right w:val="none" w:sz="0" w:space="0" w:color="auto"/>
              </w:divBdr>
            </w:div>
            <w:div w:id="932200362">
              <w:marLeft w:val="0"/>
              <w:marRight w:val="0"/>
              <w:marTop w:val="0"/>
              <w:marBottom w:val="0"/>
              <w:divBdr>
                <w:top w:val="none" w:sz="0" w:space="0" w:color="auto"/>
                <w:left w:val="none" w:sz="0" w:space="0" w:color="auto"/>
                <w:bottom w:val="none" w:sz="0" w:space="0" w:color="auto"/>
                <w:right w:val="none" w:sz="0" w:space="0" w:color="auto"/>
              </w:divBdr>
            </w:div>
            <w:div w:id="1827209230">
              <w:marLeft w:val="0"/>
              <w:marRight w:val="0"/>
              <w:marTop w:val="0"/>
              <w:marBottom w:val="0"/>
              <w:divBdr>
                <w:top w:val="none" w:sz="0" w:space="0" w:color="auto"/>
                <w:left w:val="none" w:sz="0" w:space="0" w:color="auto"/>
                <w:bottom w:val="none" w:sz="0" w:space="0" w:color="auto"/>
                <w:right w:val="none" w:sz="0" w:space="0" w:color="auto"/>
              </w:divBdr>
            </w:div>
          </w:divsChild>
        </w:div>
        <w:div w:id="1655909307">
          <w:marLeft w:val="0"/>
          <w:marRight w:val="0"/>
          <w:marTop w:val="0"/>
          <w:marBottom w:val="0"/>
          <w:divBdr>
            <w:top w:val="none" w:sz="0" w:space="0" w:color="auto"/>
            <w:left w:val="none" w:sz="0" w:space="0" w:color="auto"/>
            <w:bottom w:val="none" w:sz="0" w:space="0" w:color="auto"/>
            <w:right w:val="none" w:sz="0" w:space="0" w:color="auto"/>
          </w:divBdr>
          <w:divsChild>
            <w:div w:id="864048">
              <w:marLeft w:val="0"/>
              <w:marRight w:val="0"/>
              <w:marTop w:val="0"/>
              <w:marBottom w:val="0"/>
              <w:divBdr>
                <w:top w:val="none" w:sz="0" w:space="0" w:color="auto"/>
                <w:left w:val="none" w:sz="0" w:space="0" w:color="auto"/>
                <w:bottom w:val="none" w:sz="0" w:space="0" w:color="auto"/>
                <w:right w:val="none" w:sz="0" w:space="0" w:color="auto"/>
              </w:divBdr>
              <w:divsChild>
                <w:div w:id="259023390">
                  <w:marLeft w:val="0"/>
                  <w:marRight w:val="0"/>
                  <w:marTop w:val="120"/>
                  <w:marBottom w:val="0"/>
                  <w:divBdr>
                    <w:top w:val="none" w:sz="0" w:space="0" w:color="auto"/>
                    <w:left w:val="none" w:sz="0" w:space="0" w:color="auto"/>
                    <w:bottom w:val="none" w:sz="0" w:space="0" w:color="auto"/>
                    <w:right w:val="none" w:sz="0" w:space="0" w:color="auto"/>
                  </w:divBdr>
                </w:div>
                <w:div w:id="1166366045">
                  <w:marLeft w:val="0"/>
                  <w:marRight w:val="0"/>
                  <w:marTop w:val="0"/>
                  <w:marBottom w:val="0"/>
                  <w:divBdr>
                    <w:top w:val="none" w:sz="0" w:space="0" w:color="auto"/>
                    <w:left w:val="none" w:sz="0" w:space="0" w:color="auto"/>
                    <w:bottom w:val="none" w:sz="0" w:space="0" w:color="auto"/>
                    <w:right w:val="none" w:sz="0" w:space="0" w:color="auto"/>
                  </w:divBdr>
                  <w:divsChild>
                    <w:div w:id="472721799">
                      <w:marLeft w:val="0"/>
                      <w:marRight w:val="0"/>
                      <w:marTop w:val="0"/>
                      <w:marBottom w:val="0"/>
                      <w:divBdr>
                        <w:top w:val="none" w:sz="0" w:space="0" w:color="auto"/>
                        <w:left w:val="none" w:sz="0" w:space="0" w:color="auto"/>
                        <w:bottom w:val="none" w:sz="0" w:space="0" w:color="auto"/>
                        <w:right w:val="none" w:sz="0" w:space="0" w:color="auto"/>
                      </w:divBdr>
                      <w:divsChild>
                        <w:div w:id="9093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58115">
          <w:marLeft w:val="0"/>
          <w:marRight w:val="0"/>
          <w:marTop w:val="0"/>
          <w:marBottom w:val="0"/>
          <w:divBdr>
            <w:top w:val="none" w:sz="0" w:space="0" w:color="auto"/>
            <w:left w:val="none" w:sz="0" w:space="0" w:color="auto"/>
            <w:bottom w:val="none" w:sz="0" w:space="0" w:color="auto"/>
            <w:right w:val="none" w:sz="0" w:space="0" w:color="auto"/>
          </w:divBdr>
        </w:div>
        <w:div w:id="1047409904">
          <w:marLeft w:val="0"/>
          <w:marRight w:val="0"/>
          <w:marTop w:val="0"/>
          <w:marBottom w:val="0"/>
          <w:divBdr>
            <w:top w:val="none" w:sz="0" w:space="0" w:color="auto"/>
            <w:left w:val="none" w:sz="0" w:space="0" w:color="auto"/>
            <w:bottom w:val="none" w:sz="0" w:space="0" w:color="auto"/>
            <w:right w:val="none" w:sz="0" w:space="0" w:color="auto"/>
          </w:divBdr>
          <w:divsChild>
            <w:div w:id="974484240">
              <w:marLeft w:val="0"/>
              <w:marRight w:val="0"/>
              <w:marTop w:val="0"/>
              <w:marBottom w:val="0"/>
              <w:divBdr>
                <w:top w:val="none" w:sz="0" w:space="0" w:color="auto"/>
                <w:left w:val="none" w:sz="0" w:space="0" w:color="auto"/>
                <w:bottom w:val="none" w:sz="0" w:space="0" w:color="auto"/>
                <w:right w:val="none" w:sz="0" w:space="0" w:color="auto"/>
              </w:divBdr>
              <w:divsChild>
                <w:div w:id="1781752418">
                  <w:marLeft w:val="0"/>
                  <w:marRight w:val="0"/>
                  <w:marTop w:val="0"/>
                  <w:marBottom w:val="0"/>
                  <w:divBdr>
                    <w:top w:val="none" w:sz="0" w:space="0" w:color="auto"/>
                    <w:left w:val="none" w:sz="0" w:space="0" w:color="auto"/>
                    <w:bottom w:val="none" w:sz="0" w:space="0" w:color="auto"/>
                    <w:right w:val="none" w:sz="0" w:space="0" w:color="auto"/>
                  </w:divBdr>
                </w:div>
                <w:div w:id="1717393216">
                  <w:marLeft w:val="0"/>
                  <w:marRight w:val="0"/>
                  <w:marTop w:val="0"/>
                  <w:marBottom w:val="0"/>
                  <w:divBdr>
                    <w:top w:val="none" w:sz="0" w:space="0" w:color="auto"/>
                    <w:left w:val="none" w:sz="0" w:space="0" w:color="auto"/>
                    <w:bottom w:val="none" w:sz="0" w:space="0" w:color="auto"/>
                    <w:right w:val="none" w:sz="0" w:space="0" w:color="auto"/>
                  </w:divBdr>
                </w:div>
                <w:div w:id="1582451174">
                  <w:marLeft w:val="0"/>
                  <w:marRight w:val="0"/>
                  <w:marTop w:val="0"/>
                  <w:marBottom w:val="0"/>
                  <w:divBdr>
                    <w:top w:val="none" w:sz="0" w:space="0" w:color="auto"/>
                    <w:left w:val="none" w:sz="0" w:space="0" w:color="auto"/>
                    <w:bottom w:val="none" w:sz="0" w:space="0" w:color="auto"/>
                    <w:right w:val="none" w:sz="0" w:space="0" w:color="auto"/>
                  </w:divBdr>
                </w:div>
                <w:div w:id="389110983">
                  <w:marLeft w:val="0"/>
                  <w:marRight w:val="0"/>
                  <w:marTop w:val="0"/>
                  <w:marBottom w:val="0"/>
                  <w:divBdr>
                    <w:top w:val="none" w:sz="0" w:space="0" w:color="auto"/>
                    <w:left w:val="none" w:sz="0" w:space="0" w:color="auto"/>
                    <w:bottom w:val="none" w:sz="0" w:space="0" w:color="auto"/>
                    <w:right w:val="none" w:sz="0" w:space="0" w:color="auto"/>
                  </w:divBdr>
                </w:div>
                <w:div w:id="1512984663">
                  <w:marLeft w:val="0"/>
                  <w:marRight w:val="0"/>
                  <w:marTop w:val="0"/>
                  <w:marBottom w:val="0"/>
                  <w:divBdr>
                    <w:top w:val="none" w:sz="0" w:space="0" w:color="auto"/>
                    <w:left w:val="none" w:sz="0" w:space="0" w:color="auto"/>
                    <w:bottom w:val="none" w:sz="0" w:space="0" w:color="auto"/>
                    <w:right w:val="none" w:sz="0" w:space="0" w:color="auto"/>
                  </w:divBdr>
                </w:div>
                <w:div w:id="721949075">
                  <w:marLeft w:val="0"/>
                  <w:marRight w:val="0"/>
                  <w:marTop w:val="0"/>
                  <w:marBottom w:val="0"/>
                  <w:divBdr>
                    <w:top w:val="none" w:sz="0" w:space="0" w:color="auto"/>
                    <w:left w:val="none" w:sz="0" w:space="0" w:color="auto"/>
                    <w:bottom w:val="none" w:sz="0" w:space="0" w:color="auto"/>
                    <w:right w:val="none" w:sz="0" w:space="0" w:color="auto"/>
                  </w:divBdr>
                </w:div>
              </w:divsChild>
            </w:div>
            <w:div w:id="907306188">
              <w:marLeft w:val="0"/>
              <w:marRight w:val="0"/>
              <w:marTop w:val="0"/>
              <w:marBottom w:val="0"/>
              <w:divBdr>
                <w:top w:val="none" w:sz="0" w:space="0" w:color="auto"/>
                <w:left w:val="none" w:sz="0" w:space="0" w:color="auto"/>
                <w:bottom w:val="none" w:sz="0" w:space="0" w:color="auto"/>
                <w:right w:val="none" w:sz="0" w:space="0" w:color="auto"/>
              </w:divBdr>
              <w:divsChild>
                <w:div w:id="1244414748">
                  <w:marLeft w:val="0"/>
                  <w:marRight w:val="0"/>
                  <w:marTop w:val="0"/>
                  <w:marBottom w:val="0"/>
                  <w:divBdr>
                    <w:top w:val="none" w:sz="0" w:space="0" w:color="auto"/>
                    <w:left w:val="none" w:sz="0" w:space="0" w:color="auto"/>
                    <w:bottom w:val="none" w:sz="0" w:space="0" w:color="auto"/>
                    <w:right w:val="none" w:sz="0" w:space="0" w:color="auto"/>
                  </w:divBdr>
                  <w:divsChild>
                    <w:div w:id="1496066045">
                      <w:marLeft w:val="0"/>
                      <w:marRight w:val="0"/>
                      <w:marTop w:val="120"/>
                      <w:marBottom w:val="0"/>
                      <w:divBdr>
                        <w:top w:val="none" w:sz="0" w:space="0" w:color="auto"/>
                        <w:left w:val="none" w:sz="0" w:space="0" w:color="auto"/>
                        <w:bottom w:val="none" w:sz="0" w:space="0" w:color="auto"/>
                        <w:right w:val="none" w:sz="0" w:space="0" w:color="auto"/>
                      </w:divBdr>
                    </w:div>
                    <w:div w:id="1859781424">
                      <w:marLeft w:val="0"/>
                      <w:marRight w:val="0"/>
                      <w:marTop w:val="0"/>
                      <w:marBottom w:val="0"/>
                      <w:divBdr>
                        <w:top w:val="none" w:sz="0" w:space="0" w:color="auto"/>
                        <w:left w:val="none" w:sz="0" w:space="0" w:color="auto"/>
                        <w:bottom w:val="none" w:sz="0" w:space="0" w:color="auto"/>
                        <w:right w:val="none" w:sz="0" w:space="0" w:color="auto"/>
                      </w:divBdr>
                      <w:divsChild>
                        <w:div w:id="1347949742">
                          <w:marLeft w:val="0"/>
                          <w:marRight w:val="0"/>
                          <w:marTop w:val="0"/>
                          <w:marBottom w:val="0"/>
                          <w:divBdr>
                            <w:top w:val="none" w:sz="0" w:space="0" w:color="auto"/>
                            <w:left w:val="none" w:sz="0" w:space="0" w:color="auto"/>
                            <w:bottom w:val="none" w:sz="0" w:space="0" w:color="auto"/>
                            <w:right w:val="none" w:sz="0" w:space="0" w:color="auto"/>
                          </w:divBdr>
                          <w:divsChild>
                            <w:div w:id="4285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1167">
      <w:bodyDiv w:val="1"/>
      <w:marLeft w:val="0"/>
      <w:marRight w:val="0"/>
      <w:marTop w:val="0"/>
      <w:marBottom w:val="0"/>
      <w:divBdr>
        <w:top w:val="none" w:sz="0" w:space="0" w:color="auto"/>
        <w:left w:val="none" w:sz="0" w:space="0" w:color="auto"/>
        <w:bottom w:val="none" w:sz="0" w:space="0" w:color="auto"/>
        <w:right w:val="none" w:sz="0" w:space="0" w:color="auto"/>
      </w:divBdr>
    </w:div>
    <w:div w:id="1946187722">
      <w:bodyDiv w:val="1"/>
      <w:marLeft w:val="0"/>
      <w:marRight w:val="0"/>
      <w:marTop w:val="0"/>
      <w:marBottom w:val="0"/>
      <w:divBdr>
        <w:top w:val="none" w:sz="0" w:space="0" w:color="auto"/>
        <w:left w:val="none" w:sz="0" w:space="0" w:color="auto"/>
        <w:bottom w:val="none" w:sz="0" w:space="0" w:color="auto"/>
        <w:right w:val="none" w:sz="0" w:space="0" w:color="auto"/>
      </w:divBdr>
      <w:divsChild>
        <w:div w:id="1291323802">
          <w:marLeft w:val="0"/>
          <w:marRight w:val="0"/>
          <w:marTop w:val="0"/>
          <w:marBottom w:val="0"/>
          <w:divBdr>
            <w:top w:val="none" w:sz="0" w:space="0" w:color="auto"/>
            <w:left w:val="none" w:sz="0" w:space="0" w:color="auto"/>
            <w:bottom w:val="none" w:sz="0" w:space="0" w:color="auto"/>
            <w:right w:val="none" w:sz="0" w:space="0" w:color="auto"/>
          </w:divBdr>
          <w:divsChild>
            <w:div w:id="1550335926">
              <w:marLeft w:val="0"/>
              <w:marRight w:val="0"/>
              <w:marTop w:val="0"/>
              <w:marBottom w:val="0"/>
              <w:divBdr>
                <w:top w:val="none" w:sz="0" w:space="0" w:color="auto"/>
                <w:left w:val="none" w:sz="0" w:space="0" w:color="auto"/>
                <w:bottom w:val="none" w:sz="0" w:space="0" w:color="auto"/>
                <w:right w:val="none" w:sz="0" w:space="0" w:color="auto"/>
              </w:divBdr>
              <w:divsChild>
                <w:div w:id="1501502585">
                  <w:marLeft w:val="0"/>
                  <w:marRight w:val="0"/>
                  <w:marTop w:val="0"/>
                  <w:marBottom w:val="0"/>
                  <w:divBdr>
                    <w:top w:val="none" w:sz="0" w:space="0" w:color="auto"/>
                    <w:left w:val="none" w:sz="0" w:space="0" w:color="auto"/>
                    <w:bottom w:val="none" w:sz="0" w:space="0" w:color="auto"/>
                    <w:right w:val="none" w:sz="0" w:space="0" w:color="auto"/>
                  </w:divBdr>
                  <w:divsChild>
                    <w:div w:id="1038503523">
                      <w:marLeft w:val="0"/>
                      <w:marRight w:val="0"/>
                      <w:marTop w:val="0"/>
                      <w:marBottom w:val="0"/>
                      <w:divBdr>
                        <w:top w:val="none" w:sz="0" w:space="0" w:color="auto"/>
                        <w:left w:val="none" w:sz="0" w:space="0" w:color="auto"/>
                        <w:bottom w:val="none" w:sz="0" w:space="0" w:color="auto"/>
                        <w:right w:val="none" w:sz="0" w:space="0" w:color="auto"/>
                      </w:divBdr>
                      <w:divsChild>
                        <w:div w:id="250897753">
                          <w:marLeft w:val="0"/>
                          <w:marRight w:val="0"/>
                          <w:marTop w:val="0"/>
                          <w:marBottom w:val="0"/>
                          <w:divBdr>
                            <w:top w:val="none" w:sz="0" w:space="0" w:color="auto"/>
                            <w:left w:val="none" w:sz="0" w:space="0" w:color="auto"/>
                            <w:bottom w:val="none" w:sz="0" w:space="0" w:color="auto"/>
                            <w:right w:val="none" w:sz="0" w:space="0" w:color="auto"/>
                          </w:divBdr>
                          <w:divsChild>
                            <w:div w:id="1422028248">
                              <w:marLeft w:val="0"/>
                              <w:marRight w:val="0"/>
                              <w:marTop w:val="0"/>
                              <w:marBottom w:val="0"/>
                              <w:divBdr>
                                <w:top w:val="none" w:sz="0" w:space="0" w:color="auto"/>
                                <w:left w:val="none" w:sz="0" w:space="0" w:color="auto"/>
                                <w:bottom w:val="none" w:sz="0" w:space="0" w:color="auto"/>
                                <w:right w:val="none" w:sz="0" w:space="0" w:color="auto"/>
                              </w:divBdr>
                              <w:divsChild>
                                <w:div w:id="69425050">
                                  <w:marLeft w:val="0"/>
                                  <w:marRight w:val="0"/>
                                  <w:marTop w:val="0"/>
                                  <w:marBottom w:val="0"/>
                                  <w:divBdr>
                                    <w:top w:val="none" w:sz="0" w:space="0" w:color="auto"/>
                                    <w:left w:val="none" w:sz="0" w:space="0" w:color="auto"/>
                                    <w:bottom w:val="none" w:sz="0" w:space="0" w:color="auto"/>
                                    <w:right w:val="none" w:sz="0" w:space="0" w:color="auto"/>
                                  </w:divBdr>
                                  <w:divsChild>
                                    <w:div w:id="216479598">
                                      <w:marLeft w:val="0"/>
                                      <w:marRight w:val="0"/>
                                      <w:marTop w:val="0"/>
                                      <w:marBottom w:val="0"/>
                                      <w:divBdr>
                                        <w:top w:val="none" w:sz="0" w:space="0" w:color="auto"/>
                                        <w:left w:val="none" w:sz="0" w:space="0" w:color="auto"/>
                                        <w:bottom w:val="none" w:sz="0" w:space="0" w:color="auto"/>
                                        <w:right w:val="none" w:sz="0" w:space="0" w:color="auto"/>
                                      </w:divBdr>
                                      <w:divsChild>
                                        <w:div w:id="14057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ate.com/health-and-science/2017/12/flaws-in-the-clinical-trials-for-gardasil-made-it-harder-to-properly-assess-safety.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rck.com/product/usa/pi_circulars/r/recombivax_hb/recombivax_p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2020-04-19T00:11:00Z</dcterms:created>
  <dcterms:modified xsi:type="dcterms:W3CDTF">2020-04-19T01:16:00Z</dcterms:modified>
</cp:coreProperties>
</file>