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8A" w:rsidRPr="00D7498A" w:rsidRDefault="00D7498A" w:rsidP="00D7498A">
      <w:pPr>
        <w:ind w:left="-990" w:right="-90"/>
        <w:jc w:val="both"/>
        <w:rPr>
          <w:rFonts w:ascii="Georgia" w:hAnsi="Georgia"/>
          <w:sz w:val="24"/>
          <w:szCs w:val="24"/>
        </w:rPr>
      </w:pPr>
      <w:r w:rsidRPr="00D7498A">
        <w:rPr>
          <w:rFonts w:ascii="Georgia" w:hAnsi="Georgia"/>
          <w:sz w:val="24"/>
          <w:szCs w:val="24"/>
        </w:rPr>
        <w:t xml:space="preserve">It is the mission of Dreamweavers Unlimited, Inc. (DWU) to serve individuals and families with respect and kindness and to remain committed to helping them achieve their dreams.   In order to continuously work towards accomplishing our mission, DWU conducts an annual performance analysis to measure performance related to defined indicators outlined in an annual Performance Measurement Plan.   </w:t>
      </w:r>
    </w:p>
    <w:p w:rsidR="00D7498A" w:rsidRPr="00D7498A" w:rsidRDefault="00D7498A" w:rsidP="00D7498A">
      <w:pPr>
        <w:ind w:left="-990" w:right="-90"/>
        <w:jc w:val="both"/>
        <w:rPr>
          <w:rFonts w:ascii="Georgia" w:hAnsi="Georgia"/>
          <w:sz w:val="24"/>
          <w:szCs w:val="24"/>
        </w:rPr>
      </w:pPr>
      <w:r w:rsidRPr="00D7498A">
        <w:rPr>
          <w:rFonts w:ascii="Georgia" w:hAnsi="Georgia"/>
          <w:sz w:val="24"/>
          <w:szCs w:val="24"/>
        </w:rPr>
        <w:t xml:space="preserve">The analysis includes a review of the data collected as measured against the performance target for each indicator.  Any trends are noted and used to determine how to move forward in determining indicators for the following year.  Additionally, client characteristics and extenuating factors are explored in their effect on the data collected.  Comparative analysis may be conducted on indicators that have spanned multiple or consecutive years.  If it is determined necessary, an action plan will be implemented to address performance results. </w:t>
      </w:r>
    </w:p>
    <w:p w:rsidR="00D7498A" w:rsidRPr="00D7498A" w:rsidRDefault="00D7498A" w:rsidP="00D7498A">
      <w:pPr>
        <w:ind w:left="-990" w:right="-90"/>
        <w:jc w:val="both"/>
        <w:rPr>
          <w:rFonts w:ascii="Georgia" w:hAnsi="Georgia"/>
          <w:sz w:val="24"/>
          <w:szCs w:val="24"/>
        </w:rPr>
      </w:pPr>
      <w:r w:rsidRPr="00D7498A">
        <w:rPr>
          <w:rFonts w:ascii="Georgia" w:hAnsi="Georgia"/>
          <w:sz w:val="24"/>
          <w:szCs w:val="24"/>
        </w:rPr>
        <w:t xml:space="preserve">Information is shared with clients, staff, and stakeholders via the DWU website at the beginning of each calendar year. </w:t>
      </w:r>
    </w:p>
    <w:p w:rsidR="000F0B88" w:rsidRDefault="00D7498A" w:rsidP="00D7498A">
      <w:pPr>
        <w:ind w:left="-990" w:right="-90"/>
        <w:jc w:val="both"/>
        <w:rPr>
          <w:rFonts w:ascii="Georgia" w:hAnsi="Georgia"/>
          <w:sz w:val="24"/>
          <w:szCs w:val="24"/>
        </w:rPr>
      </w:pPr>
      <w:r w:rsidRPr="00D7498A">
        <w:rPr>
          <w:rFonts w:ascii="Georgia" w:hAnsi="Georgia"/>
          <w:sz w:val="24"/>
          <w:szCs w:val="24"/>
        </w:rPr>
        <w:t>The following performance indicators</w:t>
      </w:r>
      <w:r w:rsidR="003F1F02">
        <w:rPr>
          <w:rFonts w:ascii="Georgia" w:hAnsi="Georgia"/>
          <w:sz w:val="24"/>
          <w:szCs w:val="24"/>
        </w:rPr>
        <w:t xml:space="preserve"> for Business Function </w:t>
      </w:r>
      <w:r w:rsidRPr="00D7498A">
        <w:rPr>
          <w:rFonts w:ascii="Georgia" w:hAnsi="Georgia"/>
          <w:sz w:val="24"/>
          <w:szCs w:val="24"/>
        </w:rPr>
        <w:t xml:space="preserve">were measured for the calendar year of </w:t>
      </w:r>
      <w:r>
        <w:rPr>
          <w:rFonts w:ascii="Georgia" w:hAnsi="Georgia"/>
          <w:sz w:val="24"/>
          <w:szCs w:val="24"/>
        </w:rPr>
        <w:t>2021</w:t>
      </w:r>
      <w:r w:rsidRPr="00D7498A">
        <w:rPr>
          <w:rFonts w:ascii="Georgia" w:hAnsi="Georgia"/>
          <w:sz w:val="24"/>
          <w:szCs w:val="24"/>
        </w:rPr>
        <w:t>:</w:t>
      </w:r>
    </w:p>
    <w:p w:rsidR="00D670A5" w:rsidRDefault="00D670A5" w:rsidP="00D670A5">
      <w:pPr>
        <w:pStyle w:val="ListParagraph"/>
        <w:rPr>
          <w:rFonts w:ascii="Georgia" w:hAnsi="Georgia"/>
          <w:b/>
          <w:sz w:val="24"/>
          <w:szCs w:val="24"/>
        </w:rPr>
      </w:pPr>
    </w:p>
    <w:p w:rsidR="006D21A8" w:rsidRPr="000D3BA4" w:rsidRDefault="00D670A5" w:rsidP="006D21A8">
      <w:pPr>
        <w:pStyle w:val="ListParagraph"/>
        <w:numPr>
          <w:ilvl w:val="0"/>
          <w:numId w:val="5"/>
        </w:numPr>
        <w:rPr>
          <w:rFonts w:ascii="Georgia" w:hAnsi="Georgia"/>
          <w:b/>
          <w:sz w:val="24"/>
          <w:szCs w:val="24"/>
        </w:rPr>
      </w:pPr>
      <w:r>
        <w:rPr>
          <w:rFonts w:ascii="Georgia" w:hAnsi="Georgia"/>
          <w:b/>
          <w:sz w:val="24"/>
          <w:szCs w:val="24"/>
        </w:rPr>
        <w:t>BUSINESS FUNCTION</w:t>
      </w:r>
      <w:r w:rsidR="006D21A8" w:rsidRPr="006D21A8">
        <w:rPr>
          <w:rFonts w:ascii="Georgia" w:hAnsi="Georgia"/>
          <w:b/>
          <w:sz w:val="24"/>
          <w:szCs w:val="24"/>
        </w:rPr>
        <w:t xml:space="preserve"> </w:t>
      </w:r>
    </w:p>
    <w:tbl>
      <w:tblPr>
        <w:tblStyle w:val="TableGrid"/>
        <w:tblW w:w="15030" w:type="dxa"/>
        <w:tblInd w:w="-972" w:type="dxa"/>
        <w:tblLayout w:type="fixed"/>
        <w:tblLook w:val="04A0"/>
      </w:tblPr>
      <w:tblGrid>
        <w:gridCol w:w="2700"/>
        <w:gridCol w:w="2160"/>
        <w:gridCol w:w="1800"/>
        <w:gridCol w:w="2070"/>
        <w:gridCol w:w="3060"/>
        <w:gridCol w:w="3240"/>
      </w:tblGrid>
      <w:tr w:rsidR="006D21A8" w:rsidTr="00302D8E">
        <w:tc>
          <w:tcPr>
            <w:tcW w:w="27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Performance Indicator</w:t>
            </w:r>
          </w:p>
        </w:tc>
        <w:tc>
          <w:tcPr>
            <w:tcW w:w="2160" w:type="dxa"/>
          </w:tcPr>
          <w:p w:rsidR="006D21A8" w:rsidRPr="000D3BA4" w:rsidRDefault="006D21A8" w:rsidP="00302D8E">
            <w:pPr>
              <w:jc w:val="center"/>
              <w:rPr>
                <w:rFonts w:ascii="Georgia" w:hAnsi="Georgia"/>
                <w:b/>
                <w:sz w:val="24"/>
                <w:szCs w:val="24"/>
              </w:rPr>
            </w:pPr>
            <w:r>
              <w:rPr>
                <w:rFonts w:ascii="Georgia" w:hAnsi="Georgia"/>
                <w:b/>
                <w:sz w:val="24"/>
                <w:szCs w:val="24"/>
              </w:rPr>
              <w:t>Who will this apply to?</w:t>
            </w:r>
          </w:p>
        </w:tc>
        <w:tc>
          <w:tcPr>
            <w:tcW w:w="1800" w:type="dxa"/>
          </w:tcPr>
          <w:p w:rsidR="006D21A8" w:rsidRPr="000D3BA4" w:rsidRDefault="006D21A8" w:rsidP="00302D8E">
            <w:pPr>
              <w:jc w:val="center"/>
              <w:rPr>
                <w:rFonts w:ascii="Georgia" w:hAnsi="Georgia"/>
                <w:b/>
                <w:sz w:val="24"/>
                <w:szCs w:val="24"/>
              </w:rPr>
            </w:pPr>
            <w:r w:rsidRPr="000D3BA4">
              <w:rPr>
                <w:rFonts w:ascii="Georgia" w:hAnsi="Georgia"/>
                <w:b/>
                <w:sz w:val="24"/>
                <w:szCs w:val="24"/>
              </w:rPr>
              <w:t>Responsible Party</w:t>
            </w:r>
          </w:p>
        </w:tc>
        <w:tc>
          <w:tcPr>
            <w:tcW w:w="2070" w:type="dxa"/>
          </w:tcPr>
          <w:p w:rsidR="006D21A8" w:rsidRPr="000D3BA4" w:rsidRDefault="006D21A8" w:rsidP="00302D8E">
            <w:pPr>
              <w:jc w:val="center"/>
              <w:rPr>
                <w:rFonts w:ascii="Georgia" w:hAnsi="Georgia"/>
                <w:b/>
                <w:sz w:val="24"/>
                <w:szCs w:val="24"/>
              </w:rPr>
            </w:pPr>
            <w:r>
              <w:rPr>
                <w:rFonts w:ascii="Georgia" w:hAnsi="Georgia"/>
                <w:b/>
                <w:sz w:val="24"/>
                <w:szCs w:val="24"/>
              </w:rPr>
              <w:t>Data sources</w:t>
            </w:r>
          </w:p>
        </w:tc>
        <w:tc>
          <w:tcPr>
            <w:tcW w:w="3060" w:type="dxa"/>
          </w:tcPr>
          <w:p w:rsidR="006D21A8" w:rsidRPr="000D3BA4" w:rsidRDefault="006D21A8" w:rsidP="00302D8E">
            <w:pPr>
              <w:jc w:val="center"/>
              <w:rPr>
                <w:rFonts w:ascii="Georgia" w:hAnsi="Georgia"/>
                <w:b/>
                <w:sz w:val="24"/>
                <w:szCs w:val="24"/>
              </w:rPr>
            </w:pPr>
            <w:r>
              <w:rPr>
                <w:rFonts w:ascii="Georgia" w:hAnsi="Georgia"/>
                <w:b/>
                <w:sz w:val="24"/>
                <w:szCs w:val="24"/>
              </w:rPr>
              <w:t>Relevant time-frames for data collection</w:t>
            </w:r>
          </w:p>
        </w:tc>
        <w:tc>
          <w:tcPr>
            <w:tcW w:w="3240" w:type="dxa"/>
          </w:tcPr>
          <w:p w:rsidR="006D21A8" w:rsidRPr="000D3BA4" w:rsidRDefault="006D21A8" w:rsidP="00302D8E">
            <w:pPr>
              <w:jc w:val="center"/>
              <w:rPr>
                <w:rFonts w:ascii="Georgia" w:hAnsi="Georgia"/>
                <w:b/>
                <w:sz w:val="24"/>
                <w:szCs w:val="24"/>
              </w:rPr>
            </w:pPr>
            <w:r>
              <w:rPr>
                <w:rFonts w:ascii="Georgia" w:hAnsi="Georgia"/>
                <w:b/>
                <w:sz w:val="24"/>
                <w:szCs w:val="24"/>
              </w:rPr>
              <w:t>Performance Target</w:t>
            </w:r>
          </w:p>
        </w:tc>
      </w:tr>
      <w:tr w:rsidR="006D21A8" w:rsidTr="00302D8E">
        <w:tc>
          <w:tcPr>
            <w:tcW w:w="2700" w:type="dxa"/>
          </w:tcPr>
          <w:p w:rsidR="006D21A8" w:rsidRDefault="009B2E7F" w:rsidP="00191C31">
            <w:pPr>
              <w:rPr>
                <w:rFonts w:ascii="Georgia" w:hAnsi="Georgia"/>
              </w:rPr>
            </w:pPr>
            <w:r>
              <w:rPr>
                <w:rFonts w:ascii="Georgia" w:hAnsi="Georgia"/>
              </w:rPr>
              <w:t>Increase revenue by maximizing Appendix K.</w:t>
            </w:r>
          </w:p>
          <w:p w:rsidR="00997B6B" w:rsidRDefault="00997B6B" w:rsidP="00191C31">
            <w:pPr>
              <w:rPr>
                <w:rFonts w:ascii="Georgia" w:hAnsi="Georgia"/>
              </w:rPr>
            </w:pPr>
          </w:p>
          <w:p w:rsidR="00997B6B" w:rsidRPr="00D62FAA" w:rsidRDefault="00997B6B" w:rsidP="00191C31">
            <w:pPr>
              <w:rPr>
                <w:rFonts w:ascii="Georgia" w:hAnsi="Georgia"/>
              </w:rPr>
            </w:pPr>
          </w:p>
        </w:tc>
        <w:tc>
          <w:tcPr>
            <w:tcW w:w="2160" w:type="dxa"/>
          </w:tcPr>
          <w:p w:rsidR="006D21A8" w:rsidRPr="00D62FAA" w:rsidRDefault="009B2E7F" w:rsidP="00302D8E">
            <w:pPr>
              <w:rPr>
                <w:rFonts w:ascii="Georgia" w:hAnsi="Georgia"/>
              </w:rPr>
            </w:pPr>
            <w:r>
              <w:rPr>
                <w:rFonts w:ascii="Georgia" w:hAnsi="Georgia"/>
              </w:rPr>
              <w:t>Clients with Appendix K submitted to LME.</w:t>
            </w:r>
          </w:p>
        </w:tc>
        <w:tc>
          <w:tcPr>
            <w:tcW w:w="1800" w:type="dxa"/>
          </w:tcPr>
          <w:p w:rsidR="006D21A8" w:rsidRPr="00D62FAA" w:rsidRDefault="009B2E7F" w:rsidP="00302D8E">
            <w:pPr>
              <w:rPr>
                <w:rFonts w:ascii="Georgia" w:hAnsi="Georgia"/>
              </w:rPr>
            </w:pPr>
            <w:r>
              <w:rPr>
                <w:rFonts w:ascii="Georgia" w:hAnsi="Georgia"/>
              </w:rPr>
              <w:t>Betsy</w:t>
            </w:r>
          </w:p>
        </w:tc>
        <w:tc>
          <w:tcPr>
            <w:tcW w:w="2070" w:type="dxa"/>
          </w:tcPr>
          <w:p w:rsidR="006D21A8" w:rsidRPr="00D62FAA" w:rsidRDefault="009B2E7F" w:rsidP="00302D8E">
            <w:pPr>
              <w:rPr>
                <w:rFonts w:ascii="Georgia" w:hAnsi="Georgia"/>
              </w:rPr>
            </w:pPr>
            <w:r>
              <w:rPr>
                <w:rFonts w:ascii="Georgia" w:hAnsi="Georgia"/>
              </w:rPr>
              <w:t xml:space="preserve">Utilization reports.  </w:t>
            </w:r>
            <w:proofErr w:type="gramStart"/>
            <w:r>
              <w:rPr>
                <w:rFonts w:ascii="Georgia" w:hAnsi="Georgia"/>
              </w:rPr>
              <w:t>Appendix K form</w:t>
            </w:r>
            <w:proofErr w:type="gramEnd"/>
            <w:r>
              <w:rPr>
                <w:rFonts w:ascii="Georgia" w:hAnsi="Georgia"/>
              </w:rPr>
              <w:t>.</w:t>
            </w:r>
          </w:p>
        </w:tc>
        <w:tc>
          <w:tcPr>
            <w:tcW w:w="3060" w:type="dxa"/>
          </w:tcPr>
          <w:p w:rsidR="006D21A8" w:rsidRDefault="009B2E7F" w:rsidP="00302D8E">
            <w:pPr>
              <w:rPr>
                <w:rFonts w:ascii="Georgia" w:hAnsi="Georgia"/>
              </w:rPr>
            </w:pPr>
            <w:r>
              <w:rPr>
                <w:rFonts w:ascii="Georgia" w:hAnsi="Georgia"/>
              </w:rPr>
              <w:t xml:space="preserve">Daily service notes reviewed quarterly. </w:t>
            </w:r>
          </w:p>
        </w:tc>
        <w:tc>
          <w:tcPr>
            <w:tcW w:w="3240" w:type="dxa"/>
          </w:tcPr>
          <w:p w:rsidR="006D21A8" w:rsidRDefault="009B2E7F" w:rsidP="00302D8E">
            <w:pPr>
              <w:rPr>
                <w:rFonts w:ascii="Georgia" w:hAnsi="Georgia"/>
              </w:rPr>
            </w:pPr>
            <w:r>
              <w:rPr>
                <w:rFonts w:ascii="Georgia" w:hAnsi="Georgia"/>
              </w:rPr>
              <w:t>90% utilization of flexibilities.</w:t>
            </w:r>
          </w:p>
        </w:tc>
      </w:tr>
    </w:tbl>
    <w:p w:rsidR="006D21A8" w:rsidRPr="006D21A8" w:rsidRDefault="006D21A8" w:rsidP="006D21A8">
      <w:pPr>
        <w:rPr>
          <w:rFonts w:ascii="Georgia" w:hAnsi="Georgia"/>
          <w:b/>
        </w:rPr>
      </w:pPr>
      <w:r w:rsidRPr="006D21A8">
        <w:rPr>
          <w:rFonts w:ascii="Georgia" w:hAnsi="Georgia"/>
          <w:b/>
        </w:rPr>
        <w:t>Results/Updates:</w:t>
      </w:r>
    </w:p>
    <w:p w:rsidR="006D21A8" w:rsidRDefault="006D21A8" w:rsidP="006D21A8">
      <w:pPr>
        <w:pStyle w:val="ListParagraph"/>
        <w:rPr>
          <w:rFonts w:ascii="Georgia" w:hAnsi="Georgia"/>
          <w:b/>
        </w:rPr>
      </w:pPr>
      <w:r w:rsidRPr="006D21A8">
        <w:rPr>
          <w:rFonts w:ascii="Georgia" w:hAnsi="Georgia"/>
          <w:b/>
        </w:rPr>
        <w:t>Q1:</w:t>
      </w:r>
      <w:r w:rsidR="00222866">
        <w:rPr>
          <w:rFonts w:ascii="Georgia" w:hAnsi="Georgia"/>
          <w:b/>
        </w:rPr>
        <w:t xml:space="preserve"> - 2 months met/exceeded target</w:t>
      </w:r>
    </w:p>
    <w:p w:rsidR="00F306B2" w:rsidRPr="003136C9" w:rsidRDefault="00F306B2" w:rsidP="00F306B2">
      <w:pPr>
        <w:pStyle w:val="ListParagraph"/>
        <w:spacing w:after="0" w:line="240" w:lineRule="auto"/>
        <w:rPr>
          <w:rFonts w:ascii="Book Antiqua" w:hAnsi="Book Antiqua"/>
        </w:rPr>
      </w:pPr>
      <w:r w:rsidRPr="003136C9">
        <w:rPr>
          <w:rFonts w:ascii="Book Antiqua" w:hAnsi="Book Antiqua"/>
          <w:u w:val="single"/>
        </w:rPr>
        <w:t xml:space="preserve">Innovations– Number of </w:t>
      </w:r>
      <w:r>
        <w:rPr>
          <w:rFonts w:ascii="Book Antiqua" w:hAnsi="Book Antiqua"/>
          <w:b/>
          <w:bCs/>
          <w:u w:val="single"/>
        </w:rPr>
        <w:t>Appendix K Additional</w:t>
      </w:r>
      <w:r w:rsidRPr="003136C9">
        <w:rPr>
          <w:rFonts w:ascii="Book Antiqua" w:hAnsi="Book Antiqua"/>
          <w:u w:val="single"/>
        </w:rPr>
        <w:t xml:space="preserve"> Units Used</w:t>
      </w:r>
      <w:r>
        <w:rPr>
          <w:rFonts w:ascii="Book Antiqua" w:hAnsi="Book Antiqua"/>
          <w:u w:val="single"/>
        </w:rPr>
        <w:t xml:space="preserve"> vs. Authorized</w:t>
      </w:r>
    </w:p>
    <w:p w:rsidR="00F306B2" w:rsidRPr="003136C9" w:rsidRDefault="00F306B2" w:rsidP="00F306B2">
      <w:pPr>
        <w:pStyle w:val="ListParagraph"/>
        <w:rPr>
          <w:rFonts w:ascii="Book Antiqua" w:hAnsi="Book Antiqua"/>
        </w:rPr>
      </w:pPr>
      <w:proofErr w:type="gramStart"/>
      <w:r>
        <w:rPr>
          <w:rFonts w:ascii="Book Antiqua" w:hAnsi="Book Antiqua"/>
        </w:rPr>
        <w:t>(Based on the number of hours approved for each consumer listed in the Appendix K letter.)</w:t>
      </w:r>
      <w:proofErr w:type="gramEnd"/>
    </w:p>
    <w:p w:rsidR="00F306B2" w:rsidRDefault="00F306B2" w:rsidP="00F306B2">
      <w:pPr>
        <w:numPr>
          <w:ilvl w:val="1"/>
          <w:numId w:val="13"/>
        </w:numPr>
        <w:spacing w:after="0" w:line="240" w:lineRule="auto"/>
        <w:rPr>
          <w:rFonts w:ascii="Book Antiqua" w:hAnsi="Book Antiqua"/>
        </w:rPr>
      </w:pPr>
      <w:r>
        <w:rPr>
          <w:rFonts w:ascii="Book Antiqua" w:hAnsi="Book Antiqua"/>
        </w:rPr>
        <w:t xml:space="preserve">Percentage of Appendix K flexibility utilization. </w:t>
      </w:r>
    </w:p>
    <w:p w:rsidR="00F306B2" w:rsidRDefault="00F306B2" w:rsidP="00F306B2">
      <w:pPr>
        <w:numPr>
          <w:ilvl w:val="2"/>
          <w:numId w:val="13"/>
        </w:numPr>
        <w:spacing w:after="0" w:line="240" w:lineRule="auto"/>
        <w:rPr>
          <w:rFonts w:ascii="Book Antiqua" w:hAnsi="Book Antiqua"/>
        </w:rPr>
      </w:pPr>
      <w:r>
        <w:rPr>
          <w:rFonts w:ascii="Book Antiqua" w:hAnsi="Book Antiqua"/>
        </w:rPr>
        <w:t>Jan 2021 = 93%</w:t>
      </w:r>
    </w:p>
    <w:p w:rsidR="00F306B2" w:rsidRDefault="00F306B2" w:rsidP="00F306B2">
      <w:pPr>
        <w:numPr>
          <w:ilvl w:val="2"/>
          <w:numId w:val="13"/>
        </w:numPr>
        <w:spacing w:after="0" w:line="240" w:lineRule="auto"/>
        <w:rPr>
          <w:rFonts w:ascii="Book Antiqua" w:hAnsi="Book Antiqua"/>
        </w:rPr>
      </w:pPr>
      <w:r>
        <w:rPr>
          <w:rFonts w:ascii="Book Antiqua" w:hAnsi="Book Antiqua"/>
        </w:rPr>
        <w:t>Feb 2021 = 85%</w:t>
      </w:r>
    </w:p>
    <w:p w:rsidR="00F306B2" w:rsidRDefault="00F306B2" w:rsidP="00F306B2">
      <w:pPr>
        <w:numPr>
          <w:ilvl w:val="2"/>
          <w:numId w:val="13"/>
        </w:numPr>
        <w:spacing w:after="0" w:line="240" w:lineRule="auto"/>
        <w:rPr>
          <w:rFonts w:ascii="Book Antiqua" w:hAnsi="Book Antiqua"/>
        </w:rPr>
      </w:pPr>
      <w:r>
        <w:rPr>
          <w:rFonts w:ascii="Book Antiqua" w:hAnsi="Book Antiqua"/>
        </w:rPr>
        <w:t>Mar 2021 = 97%</w:t>
      </w:r>
    </w:p>
    <w:p w:rsidR="00F306B2" w:rsidRPr="006D21A8" w:rsidRDefault="00F306B2" w:rsidP="006D21A8">
      <w:pPr>
        <w:pStyle w:val="ListParagraph"/>
        <w:rPr>
          <w:rFonts w:ascii="Georgia" w:hAnsi="Georgia"/>
          <w:b/>
        </w:rPr>
      </w:pPr>
    </w:p>
    <w:p w:rsidR="006D21A8" w:rsidRDefault="006D21A8" w:rsidP="006D21A8">
      <w:pPr>
        <w:pStyle w:val="ListParagraph"/>
        <w:rPr>
          <w:rFonts w:ascii="Georgia" w:hAnsi="Georgia"/>
          <w:b/>
        </w:rPr>
      </w:pPr>
      <w:r w:rsidRPr="006D21A8">
        <w:rPr>
          <w:rFonts w:ascii="Georgia" w:hAnsi="Georgia"/>
          <w:b/>
        </w:rPr>
        <w:t>Q2:</w:t>
      </w:r>
      <w:r w:rsidR="00222866">
        <w:rPr>
          <w:rFonts w:ascii="Georgia" w:hAnsi="Georgia"/>
          <w:b/>
        </w:rPr>
        <w:t xml:space="preserve"> - 2 months met/exceeded target</w:t>
      </w:r>
    </w:p>
    <w:p w:rsidR="00F306B2" w:rsidRPr="003136C9" w:rsidRDefault="00F306B2" w:rsidP="00F306B2">
      <w:pPr>
        <w:pStyle w:val="ListParagraph"/>
        <w:spacing w:after="0" w:line="240" w:lineRule="auto"/>
        <w:rPr>
          <w:rFonts w:ascii="Book Antiqua" w:hAnsi="Book Antiqua"/>
        </w:rPr>
      </w:pPr>
      <w:r w:rsidRPr="003136C9">
        <w:rPr>
          <w:rFonts w:ascii="Book Antiqua" w:hAnsi="Book Antiqua"/>
          <w:u w:val="single"/>
        </w:rPr>
        <w:t xml:space="preserve">Innovations– Number of </w:t>
      </w:r>
      <w:r>
        <w:rPr>
          <w:rFonts w:ascii="Book Antiqua" w:hAnsi="Book Antiqua"/>
          <w:b/>
          <w:bCs/>
          <w:u w:val="single"/>
        </w:rPr>
        <w:t>Appendix K Additional</w:t>
      </w:r>
      <w:r w:rsidRPr="003136C9">
        <w:rPr>
          <w:rFonts w:ascii="Book Antiqua" w:hAnsi="Book Antiqua"/>
          <w:u w:val="single"/>
        </w:rPr>
        <w:t xml:space="preserve"> Units Used</w:t>
      </w:r>
      <w:r>
        <w:rPr>
          <w:rFonts w:ascii="Book Antiqua" w:hAnsi="Book Antiqua"/>
          <w:u w:val="single"/>
        </w:rPr>
        <w:t xml:space="preserve"> vs. Authorized</w:t>
      </w:r>
    </w:p>
    <w:p w:rsidR="00F306B2" w:rsidRPr="003136C9" w:rsidRDefault="00F306B2" w:rsidP="00F306B2">
      <w:pPr>
        <w:pStyle w:val="ListParagraph"/>
        <w:rPr>
          <w:rFonts w:ascii="Book Antiqua" w:hAnsi="Book Antiqua"/>
        </w:rPr>
      </w:pPr>
      <w:proofErr w:type="gramStart"/>
      <w:r>
        <w:rPr>
          <w:rFonts w:ascii="Book Antiqua" w:hAnsi="Book Antiqua"/>
        </w:rPr>
        <w:t>(Based on the number of hours approved for each consumer listed in the Appendix K letter.)</w:t>
      </w:r>
      <w:proofErr w:type="gramEnd"/>
    </w:p>
    <w:p w:rsidR="00F306B2" w:rsidRDefault="00F306B2" w:rsidP="00F306B2">
      <w:pPr>
        <w:numPr>
          <w:ilvl w:val="1"/>
          <w:numId w:val="13"/>
        </w:numPr>
        <w:spacing w:after="0" w:line="240" w:lineRule="auto"/>
        <w:rPr>
          <w:rFonts w:ascii="Book Antiqua" w:hAnsi="Book Antiqua"/>
        </w:rPr>
      </w:pPr>
      <w:r>
        <w:rPr>
          <w:rFonts w:ascii="Book Antiqua" w:hAnsi="Book Antiqua"/>
        </w:rPr>
        <w:t>Percentage of Appendix K flexibility utilization.</w:t>
      </w:r>
    </w:p>
    <w:p w:rsidR="00F306B2" w:rsidRDefault="00F306B2" w:rsidP="00F306B2">
      <w:pPr>
        <w:numPr>
          <w:ilvl w:val="2"/>
          <w:numId w:val="13"/>
        </w:numPr>
        <w:spacing w:after="0" w:line="240" w:lineRule="auto"/>
        <w:rPr>
          <w:rFonts w:ascii="Book Antiqua" w:hAnsi="Book Antiqua"/>
        </w:rPr>
      </w:pPr>
      <w:r>
        <w:rPr>
          <w:rFonts w:ascii="Book Antiqua" w:hAnsi="Book Antiqua"/>
        </w:rPr>
        <w:t>Apr 2021 = 100%</w:t>
      </w:r>
    </w:p>
    <w:p w:rsidR="00F306B2" w:rsidRDefault="00F306B2" w:rsidP="00F306B2">
      <w:pPr>
        <w:numPr>
          <w:ilvl w:val="2"/>
          <w:numId w:val="13"/>
        </w:numPr>
        <w:spacing w:after="0" w:line="240" w:lineRule="auto"/>
        <w:rPr>
          <w:rFonts w:ascii="Book Antiqua" w:hAnsi="Book Antiqua"/>
        </w:rPr>
      </w:pPr>
      <w:r>
        <w:rPr>
          <w:rFonts w:ascii="Book Antiqua" w:hAnsi="Book Antiqua"/>
        </w:rPr>
        <w:t>May 2021 = 100%</w:t>
      </w:r>
    </w:p>
    <w:p w:rsidR="00F306B2" w:rsidRDefault="00F306B2" w:rsidP="00F306B2">
      <w:pPr>
        <w:numPr>
          <w:ilvl w:val="2"/>
          <w:numId w:val="13"/>
        </w:numPr>
        <w:spacing w:after="0" w:line="240" w:lineRule="auto"/>
        <w:rPr>
          <w:rFonts w:ascii="Book Antiqua" w:hAnsi="Book Antiqua"/>
        </w:rPr>
      </w:pPr>
      <w:r>
        <w:rPr>
          <w:rFonts w:ascii="Book Antiqua" w:hAnsi="Book Antiqua"/>
        </w:rPr>
        <w:t>June 2021 = 83%</w:t>
      </w:r>
    </w:p>
    <w:p w:rsidR="00F306B2" w:rsidRPr="006D21A8" w:rsidRDefault="00F306B2" w:rsidP="006D21A8">
      <w:pPr>
        <w:pStyle w:val="ListParagraph"/>
        <w:rPr>
          <w:rFonts w:ascii="Georgia" w:hAnsi="Georgia"/>
          <w:b/>
        </w:rPr>
      </w:pPr>
    </w:p>
    <w:p w:rsidR="006D21A8" w:rsidRDefault="006D21A8" w:rsidP="006D21A8">
      <w:pPr>
        <w:pStyle w:val="ListParagraph"/>
        <w:rPr>
          <w:rFonts w:ascii="Georgia" w:hAnsi="Georgia"/>
          <w:b/>
        </w:rPr>
      </w:pPr>
      <w:r w:rsidRPr="006D21A8">
        <w:rPr>
          <w:rFonts w:ascii="Georgia" w:hAnsi="Georgia"/>
          <w:b/>
        </w:rPr>
        <w:t>Q3:</w:t>
      </w:r>
      <w:r w:rsidR="00222866">
        <w:rPr>
          <w:rFonts w:ascii="Georgia" w:hAnsi="Georgia"/>
          <w:b/>
        </w:rPr>
        <w:t xml:space="preserve"> - 2 months met/exceeded target</w:t>
      </w:r>
    </w:p>
    <w:p w:rsidR="00F306B2" w:rsidRPr="003136C9" w:rsidRDefault="00F306B2" w:rsidP="00F306B2">
      <w:pPr>
        <w:pStyle w:val="ListParagraph"/>
        <w:spacing w:after="0" w:line="240" w:lineRule="auto"/>
        <w:rPr>
          <w:rFonts w:ascii="Book Antiqua" w:hAnsi="Book Antiqua"/>
        </w:rPr>
      </w:pPr>
      <w:r w:rsidRPr="003136C9">
        <w:rPr>
          <w:rFonts w:ascii="Book Antiqua" w:hAnsi="Book Antiqua"/>
          <w:u w:val="single"/>
        </w:rPr>
        <w:t xml:space="preserve">Innovations– Number of </w:t>
      </w:r>
      <w:r>
        <w:rPr>
          <w:rFonts w:ascii="Book Antiqua" w:hAnsi="Book Antiqua"/>
          <w:b/>
          <w:bCs/>
          <w:u w:val="single"/>
        </w:rPr>
        <w:t>Appendix K Additional</w:t>
      </w:r>
      <w:r w:rsidRPr="003136C9">
        <w:rPr>
          <w:rFonts w:ascii="Book Antiqua" w:hAnsi="Book Antiqua"/>
          <w:u w:val="single"/>
        </w:rPr>
        <w:t xml:space="preserve"> Units Used</w:t>
      </w:r>
      <w:r>
        <w:rPr>
          <w:rFonts w:ascii="Book Antiqua" w:hAnsi="Book Antiqua"/>
          <w:u w:val="single"/>
        </w:rPr>
        <w:t xml:space="preserve"> vs. Authorized</w:t>
      </w:r>
    </w:p>
    <w:p w:rsidR="00F306B2" w:rsidRPr="003136C9" w:rsidRDefault="00F306B2" w:rsidP="00F306B2">
      <w:pPr>
        <w:pStyle w:val="ListParagraph"/>
        <w:rPr>
          <w:rFonts w:ascii="Book Antiqua" w:hAnsi="Book Antiqua"/>
        </w:rPr>
      </w:pPr>
      <w:proofErr w:type="gramStart"/>
      <w:r>
        <w:rPr>
          <w:rFonts w:ascii="Book Antiqua" w:hAnsi="Book Antiqua"/>
        </w:rPr>
        <w:t>(Based on the number of hours approved for each consumer listed in the Appendix K letter.)</w:t>
      </w:r>
      <w:proofErr w:type="gramEnd"/>
    </w:p>
    <w:p w:rsidR="00F306B2" w:rsidRDefault="00F306B2" w:rsidP="00F306B2">
      <w:pPr>
        <w:numPr>
          <w:ilvl w:val="1"/>
          <w:numId w:val="13"/>
        </w:numPr>
        <w:spacing w:after="0" w:line="240" w:lineRule="auto"/>
        <w:rPr>
          <w:rFonts w:ascii="Book Antiqua" w:hAnsi="Book Antiqua"/>
        </w:rPr>
      </w:pPr>
      <w:r>
        <w:rPr>
          <w:rFonts w:ascii="Book Antiqua" w:hAnsi="Book Antiqua"/>
        </w:rPr>
        <w:t>Percentage of Appendix K flexibility utilization.</w:t>
      </w:r>
    </w:p>
    <w:p w:rsidR="00F306B2" w:rsidRDefault="00F306B2" w:rsidP="00F306B2">
      <w:pPr>
        <w:numPr>
          <w:ilvl w:val="2"/>
          <w:numId w:val="13"/>
        </w:numPr>
        <w:spacing w:after="0" w:line="240" w:lineRule="auto"/>
        <w:rPr>
          <w:rFonts w:ascii="Book Antiqua" w:hAnsi="Book Antiqua"/>
        </w:rPr>
      </w:pPr>
      <w:r>
        <w:rPr>
          <w:rFonts w:ascii="Book Antiqua" w:hAnsi="Book Antiqua"/>
        </w:rPr>
        <w:t>July 2021 = 90%</w:t>
      </w:r>
    </w:p>
    <w:p w:rsidR="00F306B2" w:rsidRDefault="00F306B2" w:rsidP="00F306B2">
      <w:pPr>
        <w:numPr>
          <w:ilvl w:val="2"/>
          <w:numId w:val="13"/>
        </w:numPr>
        <w:spacing w:after="0" w:line="240" w:lineRule="auto"/>
        <w:rPr>
          <w:rFonts w:ascii="Book Antiqua" w:hAnsi="Book Antiqua"/>
        </w:rPr>
      </w:pPr>
      <w:r>
        <w:rPr>
          <w:rFonts w:ascii="Book Antiqua" w:hAnsi="Book Antiqua"/>
        </w:rPr>
        <w:t>Aug 2021 = 78%</w:t>
      </w:r>
    </w:p>
    <w:p w:rsidR="00F306B2" w:rsidRDefault="00F306B2" w:rsidP="00F306B2">
      <w:pPr>
        <w:numPr>
          <w:ilvl w:val="2"/>
          <w:numId w:val="13"/>
        </w:numPr>
        <w:spacing w:after="0" w:line="240" w:lineRule="auto"/>
        <w:rPr>
          <w:rFonts w:ascii="Book Antiqua" w:hAnsi="Book Antiqua"/>
        </w:rPr>
      </w:pPr>
      <w:r>
        <w:rPr>
          <w:rFonts w:ascii="Book Antiqua" w:hAnsi="Book Antiqua"/>
        </w:rPr>
        <w:t>Sept 2021 = 99%</w:t>
      </w:r>
    </w:p>
    <w:p w:rsidR="00F306B2" w:rsidRPr="006D21A8" w:rsidRDefault="00F306B2" w:rsidP="006D21A8">
      <w:pPr>
        <w:pStyle w:val="ListParagraph"/>
        <w:rPr>
          <w:rFonts w:ascii="Georgia" w:hAnsi="Georgia"/>
          <w:b/>
        </w:rPr>
      </w:pPr>
    </w:p>
    <w:p w:rsidR="006D21A8" w:rsidRDefault="006D21A8" w:rsidP="006D21A8">
      <w:pPr>
        <w:pStyle w:val="ListParagraph"/>
        <w:rPr>
          <w:rFonts w:ascii="Georgia" w:hAnsi="Georgia"/>
          <w:b/>
        </w:rPr>
      </w:pPr>
      <w:r w:rsidRPr="006D21A8">
        <w:rPr>
          <w:rFonts w:ascii="Georgia" w:hAnsi="Georgia"/>
          <w:b/>
        </w:rPr>
        <w:t>Q4:</w:t>
      </w:r>
      <w:r w:rsidR="00222866">
        <w:rPr>
          <w:rFonts w:ascii="Georgia" w:hAnsi="Georgia"/>
          <w:b/>
        </w:rPr>
        <w:t xml:space="preserve"> - 1 month met/exceeded target</w:t>
      </w:r>
    </w:p>
    <w:p w:rsidR="00F306B2" w:rsidRPr="003136C9" w:rsidRDefault="00F306B2" w:rsidP="00F306B2">
      <w:pPr>
        <w:pStyle w:val="ListParagraph"/>
        <w:numPr>
          <w:ilvl w:val="0"/>
          <w:numId w:val="6"/>
        </w:numPr>
        <w:spacing w:after="0" w:line="240" w:lineRule="auto"/>
        <w:rPr>
          <w:rFonts w:ascii="Book Antiqua" w:hAnsi="Book Antiqua"/>
        </w:rPr>
      </w:pPr>
      <w:r w:rsidRPr="003136C9">
        <w:rPr>
          <w:rFonts w:ascii="Book Antiqua" w:hAnsi="Book Antiqua"/>
          <w:u w:val="single"/>
        </w:rPr>
        <w:t xml:space="preserve">Innovations– Number of </w:t>
      </w:r>
      <w:r>
        <w:rPr>
          <w:rFonts w:ascii="Book Antiqua" w:hAnsi="Book Antiqua"/>
          <w:b/>
          <w:bCs/>
          <w:u w:val="single"/>
        </w:rPr>
        <w:t>Appendix K Additional</w:t>
      </w:r>
      <w:r w:rsidRPr="003136C9">
        <w:rPr>
          <w:rFonts w:ascii="Book Antiqua" w:hAnsi="Book Antiqua"/>
          <w:u w:val="single"/>
        </w:rPr>
        <w:t xml:space="preserve"> Units Used</w:t>
      </w:r>
      <w:r>
        <w:rPr>
          <w:rFonts w:ascii="Book Antiqua" w:hAnsi="Book Antiqua"/>
          <w:u w:val="single"/>
        </w:rPr>
        <w:t xml:space="preserve"> vs. Authorized</w:t>
      </w:r>
    </w:p>
    <w:p w:rsidR="00F306B2" w:rsidRPr="003136C9" w:rsidRDefault="00F306B2" w:rsidP="00F306B2">
      <w:pPr>
        <w:pStyle w:val="ListParagraph"/>
        <w:rPr>
          <w:rFonts w:ascii="Book Antiqua" w:hAnsi="Book Antiqua"/>
        </w:rPr>
      </w:pPr>
      <w:r>
        <w:rPr>
          <w:rFonts w:ascii="Book Antiqua" w:hAnsi="Book Antiqua"/>
        </w:rPr>
        <w:t>(Based on the total number of hours approved for each consumer listed in the approved Appendix K letter)</w:t>
      </w:r>
    </w:p>
    <w:p w:rsidR="00F306B2" w:rsidRDefault="00F306B2" w:rsidP="00F306B2">
      <w:pPr>
        <w:numPr>
          <w:ilvl w:val="1"/>
          <w:numId w:val="13"/>
        </w:numPr>
        <w:spacing w:after="0" w:line="240" w:lineRule="auto"/>
        <w:rPr>
          <w:rFonts w:ascii="Book Antiqua" w:hAnsi="Book Antiqua"/>
        </w:rPr>
      </w:pPr>
      <w:r>
        <w:rPr>
          <w:rFonts w:ascii="Book Antiqua" w:hAnsi="Book Antiqua"/>
        </w:rPr>
        <w:t>Percentage of Appendix K flexibility utilization.</w:t>
      </w:r>
    </w:p>
    <w:p w:rsidR="00F306B2" w:rsidRDefault="00F306B2" w:rsidP="00F306B2">
      <w:pPr>
        <w:numPr>
          <w:ilvl w:val="2"/>
          <w:numId w:val="13"/>
        </w:numPr>
        <w:spacing w:after="0" w:line="240" w:lineRule="auto"/>
        <w:rPr>
          <w:rFonts w:ascii="Book Antiqua" w:hAnsi="Book Antiqua"/>
        </w:rPr>
      </w:pPr>
      <w:r>
        <w:rPr>
          <w:rFonts w:ascii="Book Antiqua" w:hAnsi="Book Antiqua"/>
        </w:rPr>
        <w:t>Oct 2021 = 90%</w:t>
      </w:r>
    </w:p>
    <w:p w:rsidR="00F306B2" w:rsidRDefault="00F306B2" w:rsidP="00F306B2">
      <w:pPr>
        <w:numPr>
          <w:ilvl w:val="2"/>
          <w:numId w:val="13"/>
        </w:numPr>
        <w:spacing w:after="0" w:line="240" w:lineRule="auto"/>
        <w:rPr>
          <w:rFonts w:ascii="Book Antiqua" w:hAnsi="Book Antiqua"/>
        </w:rPr>
      </w:pPr>
      <w:r>
        <w:rPr>
          <w:rFonts w:ascii="Book Antiqua" w:hAnsi="Book Antiqua"/>
        </w:rPr>
        <w:t>Nov 2021 = 89%</w:t>
      </w:r>
    </w:p>
    <w:p w:rsidR="00F306B2" w:rsidRDefault="00F306B2" w:rsidP="00F306B2">
      <w:pPr>
        <w:numPr>
          <w:ilvl w:val="2"/>
          <w:numId w:val="13"/>
        </w:numPr>
        <w:spacing w:after="0" w:line="240" w:lineRule="auto"/>
        <w:rPr>
          <w:rFonts w:ascii="Book Antiqua" w:hAnsi="Book Antiqua"/>
        </w:rPr>
      </w:pPr>
      <w:r>
        <w:rPr>
          <w:rFonts w:ascii="Book Antiqua" w:hAnsi="Book Antiqua"/>
        </w:rPr>
        <w:t>Dec 2021 = 87%</w:t>
      </w:r>
    </w:p>
    <w:p w:rsidR="00F306B2" w:rsidRDefault="00F306B2" w:rsidP="006D21A8">
      <w:pPr>
        <w:pStyle w:val="ListParagraph"/>
        <w:rPr>
          <w:rFonts w:ascii="Georgia" w:hAnsi="Georgia"/>
          <w:b/>
        </w:rPr>
      </w:pPr>
    </w:p>
    <w:p w:rsidR="00F306B2" w:rsidRPr="00222866" w:rsidRDefault="00F306B2" w:rsidP="006D21A8">
      <w:pPr>
        <w:pStyle w:val="ListParagraph"/>
        <w:rPr>
          <w:rFonts w:ascii="Georgia" w:hAnsi="Georgia"/>
        </w:rPr>
      </w:pPr>
      <w:r>
        <w:rPr>
          <w:rFonts w:ascii="Georgia" w:hAnsi="Georgia"/>
          <w:b/>
        </w:rPr>
        <w:t xml:space="preserve">Analysis: </w:t>
      </w:r>
      <w:r w:rsidRPr="00222866">
        <w:rPr>
          <w:rFonts w:ascii="Georgia" w:hAnsi="Georgia"/>
        </w:rPr>
        <w:t xml:space="preserve">Out of 12 months of flexibilities in 2021, we </w:t>
      </w:r>
      <w:r w:rsidR="008F1367" w:rsidRPr="00222866">
        <w:rPr>
          <w:rFonts w:ascii="Georgia" w:hAnsi="Georgia"/>
        </w:rPr>
        <w:t xml:space="preserve">met or </w:t>
      </w:r>
      <w:r w:rsidRPr="00222866">
        <w:rPr>
          <w:rFonts w:ascii="Georgia" w:hAnsi="Georgia"/>
        </w:rPr>
        <w:t xml:space="preserve">exceeded our target of 90% utilization during 7 months.  During April and May, we used 100% of the Appendix K flexibilities.  Some possible reasons for not meeting 90% target were staff </w:t>
      </w:r>
      <w:r w:rsidR="008F1367" w:rsidRPr="00222866">
        <w:rPr>
          <w:rFonts w:ascii="Georgia" w:hAnsi="Georgia"/>
        </w:rPr>
        <w:t>absences</w:t>
      </w:r>
      <w:r w:rsidRPr="00222866">
        <w:rPr>
          <w:rFonts w:ascii="Georgia" w:hAnsi="Georgia"/>
        </w:rPr>
        <w:t xml:space="preserve"> due to illness or vacation, client family vacations or illness, </w:t>
      </w:r>
      <w:r w:rsidR="008F1367" w:rsidRPr="00222866">
        <w:rPr>
          <w:rFonts w:ascii="Georgia" w:hAnsi="Georgia"/>
        </w:rPr>
        <w:t xml:space="preserve">or unforeseen circumstances and no back-up coverage. </w:t>
      </w:r>
      <w:r w:rsidR="00222866">
        <w:rPr>
          <w:rFonts w:ascii="Georgia" w:hAnsi="Georgia"/>
        </w:rPr>
        <w:t xml:space="preserve"> Because families have </w:t>
      </w:r>
      <w:r w:rsidR="00222866">
        <w:rPr>
          <w:rFonts w:ascii="Georgia" w:hAnsi="Georgia"/>
        </w:rPr>
        <w:lastRenderedPageBreak/>
        <w:t xml:space="preserve">been using the Appendix K flexibilities, it has become more challenging to find back-up staff.  Additionally, with Covid-19 concerns still present, many families are not interested in outside staff filling in.  </w:t>
      </w:r>
      <w:r w:rsidR="00AF6738">
        <w:rPr>
          <w:rFonts w:ascii="Georgia" w:hAnsi="Georgia"/>
        </w:rPr>
        <w:t xml:space="preserve">The use of Appendix K flexibilities have been a great asset to the business function at Dreamweavers as they allowed for continuity of services during the uncertainty Covid-19 National Emergency. </w:t>
      </w:r>
    </w:p>
    <w:p w:rsidR="00F306B2" w:rsidRPr="006D21A8" w:rsidRDefault="00F306B2" w:rsidP="006D21A8">
      <w:pPr>
        <w:pStyle w:val="ListParagraph"/>
        <w:rPr>
          <w:rFonts w:ascii="Georgia" w:hAnsi="Georgia"/>
          <w:b/>
        </w:rPr>
      </w:pPr>
    </w:p>
    <w:p w:rsidR="00D670A5" w:rsidRDefault="00D670A5" w:rsidP="006D21A8">
      <w:pPr>
        <w:pStyle w:val="ListParagraph"/>
        <w:rPr>
          <w:rFonts w:ascii="Georgia" w:hAnsi="Georgia"/>
          <w:b/>
          <w:sz w:val="24"/>
          <w:szCs w:val="24"/>
        </w:rPr>
      </w:pPr>
    </w:p>
    <w:sectPr w:rsidR="00D670A5" w:rsidSect="00BA69DD">
      <w:headerReference w:type="default" r:id="rId7"/>
      <w:pgSz w:w="15840" w:h="12240" w:orient="landscape"/>
      <w:pgMar w:top="1440" w:right="63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866" w:rsidRDefault="00222866" w:rsidP="007B681C">
      <w:pPr>
        <w:spacing w:after="0" w:line="240" w:lineRule="auto"/>
      </w:pPr>
      <w:r>
        <w:separator/>
      </w:r>
    </w:p>
  </w:endnote>
  <w:endnote w:type="continuationSeparator" w:id="0">
    <w:p w:rsidR="00222866" w:rsidRDefault="00222866" w:rsidP="007B6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866" w:rsidRDefault="00222866" w:rsidP="007B681C">
      <w:pPr>
        <w:spacing w:after="0" w:line="240" w:lineRule="auto"/>
      </w:pPr>
      <w:r>
        <w:separator/>
      </w:r>
    </w:p>
  </w:footnote>
  <w:footnote w:type="continuationSeparator" w:id="0">
    <w:p w:rsidR="00222866" w:rsidRDefault="00222866" w:rsidP="007B6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66" w:rsidRDefault="00222866" w:rsidP="00222866">
    <w:pPr>
      <w:pStyle w:val="Header"/>
      <w:ind w:right="810"/>
      <w:jc w:val="center"/>
      <w:rPr>
        <w:rFonts w:ascii="Georgia" w:hAnsi="Georgia"/>
        <w:sz w:val="40"/>
        <w:szCs w:val="40"/>
      </w:rPr>
    </w:pPr>
    <w:r w:rsidRPr="007B681C">
      <w:rPr>
        <w:rFonts w:ascii="Georgia" w:hAnsi="Georgia"/>
        <w:sz w:val="40"/>
        <w:szCs w:val="40"/>
      </w:rPr>
      <w:t>DREAMWEAVERS UNLMIITED, INC.</w:t>
    </w:r>
  </w:p>
  <w:p w:rsidR="00222866" w:rsidRPr="00E165DA" w:rsidRDefault="00222866" w:rsidP="00222866">
    <w:pPr>
      <w:pStyle w:val="Header"/>
      <w:ind w:right="810"/>
      <w:jc w:val="center"/>
      <w:rPr>
        <w:rFonts w:ascii="Georgia" w:hAnsi="Georgia"/>
        <w:sz w:val="16"/>
        <w:szCs w:val="16"/>
      </w:rPr>
    </w:pPr>
  </w:p>
  <w:p w:rsidR="00222866" w:rsidRDefault="00222866" w:rsidP="00222866">
    <w:pPr>
      <w:ind w:right="810"/>
      <w:jc w:val="center"/>
      <w:rPr>
        <w:rFonts w:ascii="Georgia" w:hAnsi="Georgia"/>
        <w:sz w:val="36"/>
        <w:szCs w:val="36"/>
      </w:rPr>
    </w:pPr>
    <w:r>
      <w:rPr>
        <w:rFonts w:ascii="Georgia" w:hAnsi="Georgia"/>
        <w:sz w:val="36"/>
        <w:szCs w:val="36"/>
      </w:rPr>
      <w:t>2021</w:t>
    </w:r>
    <w:r w:rsidRPr="007B681C">
      <w:rPr>
        <w:rFonts w:ascii="Georgia" w:hAnsi="Georgia"/>
        <w:sz w:val="36"/>
        <w:szCs w:val="36"/>
      </w:rPr>
      <w:t xml:space="preserve"> Performance </w:t>
    </w:r>
    <w:r>
      <w:rPr>
        <w:rFonts w:ascii="Georgia" w:hAnsi="Georgia"/>
        <w:sz w:val="36"/>
        <w:szCs w:val="36"/>
      </w:rPr>
      <w:t>Improvement Plan Results and Analysis</w:t>
    </w:r>
  </w:p>
  <w:p w:rsidR="00222866" w:rsidRPr="007B681C" w:rsidRDefault="00222866" w:rsidP="00222866">
    <w:pPr>
      <w:ind w:right="810"/>
      <w:jc w:val="center"/>
      <w:rPr>
        <w:rFonts w:ascii="Georgia" w:hAnsi="Georgia"/>
        <w:sz w:val="36"/>
        <w:szCs w:val="36"/>
      </w:rPr>
    </w:pPr>
    <w:r>
      <w:rPr>
        <w:rFonts w:ascii="Georgia" w:hAnsi="Georgia"/>
        <w:sz w:val="36"/>
        <w:szCs w:val="36"/>
      </w:rPr>
      <w:t>Business Function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DEE"/>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17885"/>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B5250"/>
    <w:multiLevelType w:val="hybridMultilevel"/>
    <w:tmpl w:val="3C1094CC"/>
    <w:lvl w:ilvl="0" w:tplc="04090013">
      <w:start w:val="1"/>
      <w:numFmt w:val="upperRoman"/>
      <w:lvlText w:val="%1."/>
      <w:lvlJc w:val="righ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nsid w:val="2960089E"/>
    <w:multiLevelType w:val="hybridMultilevel"/>
    <w:tmpl w:val="49BE4FF4"/>
    <w:lvl w:ilvl="0" w:tplc="0409000F">
      <w:start w:val="1"/>
      <w:numFmt w:val="decimal"/>
      <w:lvlText w:val="%1."/>
      <w:lvlJc w:val="left"/>
      <w:pPr>
        <w:tabs>
          <w:tab w:val="num" w:pos="720"/>
        </w:tabs>
        <w:ind w:left="720" w:hanging="360"/>
      </w:pPr>
      <w:rPr>
        <w:rFonts w:hint="default"/>
      </w:rPr>
    </w:lvl>
    <w:lvl w:ilvl="1" w:tplc="A6964E3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2F0D6A"/>
    <w:multiLevelType w:val="hybridMultilevel"/>
    <w:tmpl w:val="49BE4FF4"/>
    <w:lvl w:ilvl="0" w:tplc="0409000F">
      <w:start w:val="1"/>
      <w:numFmt w:val="decimal"/>
      <w:lvlText w:val="%1."/>
      <w:lvlJc w:val="left"/>
      <w:pPr>
        <w:tabs>
          <w:tab w:val="num" w:pos="720"/>
        </w:tabs>
        <w:ind w:left="720" w:hanging="360"/>
      </w:pPr>
      <w:rPr>
        <w:rFonts w:hint="default"/>
      </w:rPr>
    </w:lvl>
    <w:lvl w:ilvl="1" w:tplc="A6964E3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806F8A"/>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074C5"/>
    <w:multiLevelType w:val="hybridMultilevel"/>
    <w:tmpl w:val="E6A62898"/>
    <w:lvl w:ilvl="0" w:tplc="8FC4F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B2C44"/>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613D8"/>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44DCB"/>
    <w:multiLevelType w:val="hybridMultilevel"/>
    <w:tmpl w:val="98C661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8325F"/>
    <w:multiLevelType w:val="hybridMultilevel"/>
    <w:tmpl w:val="6A3C1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1563A5"/>
    <w:multiLevelType w:val="hybridMultilevel"/>
    <w:tmpl w:val="E46C90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F3D47"/>
    <w:multiLevelType w:val="hybridMultilevel"/>
    <w:tmpl w:val="C6CC24BA"/>
    <w:lvl w:ilvl="0" w:tplc="61EC20D4">
      <w:start w:val="1"/>
      <w:numFmt w:val="upperRoman"/>
      <w:lvlText w:val="%1."/>
      <w:lvlJc w:val="righ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6"/>
  </w:num>
  <w:num w:numId="5">
    <w:abstractNumId w:val="7"/>
  </w:num>
  <w:num w:numId="6">
    <w:abstractNumId w:val="4"/>
  </w:num>
  <w:num w:numId="7">
    <w:abstractNumId w:val="9"/>
  </w:num>
  <w:num w:numId="8">
    <w:abstractNumId w:val="0"/>
  </w:num>
  <w:num w:numId="9">
    <w:abstractNumId w:val="5"/>
  </w:num>
  <w:num w:numId="10">
    <w:abstractNumId w:val="1"/>
  </w:num>
  <w:num w:numId="11">
    <w:abstractNumId w:val="8"/>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26A6"/>
    <w:rsid w:val="00056C4B"/>
    <w:rsid w:val="000D3BA4"/>
    <w:rsid w:val="000D64C7"/>
    <w:rsid w:val="000F0B88"/>
    <w:rsid w:val="00130113"/>
    <w:rsid w:val="0015032C"/>
    <w:rsid w:val="001623C4"/>
    <w:rsid w:val="00165E62"/>
    <w:rsid w:val="00170978"/>
    <w:rsid w:val="001843C7"/>
    <w:rsid w:val="00191C31"/>
    <w:rsid w:val="001A0FC9"/>
    <w:rsid w:val="001C31D9"/>
    <w:rsid w:val="001F42F8"/>
    <w:rsid w:val="00206835"/>
    <w:rsid w:val="00222866"/>
    <w:rsid w:val="00283162"/>
    <w:rsid w:val="002A562B"/>
    <w:rsid w:val="002B6372"/>
    <w:rsid w:val="002D2EBC"/>
    <w:rsid w:val="002D72A6"/>
    <w:rsid w:val="002E6F6B"/>
    <w:rsid w:val="00302D8E"/>
    <w:rsid w:val="00350752"/>
    <w:rsid w:val="00352D42"/>
    <w:rsid w:val="0035677B"/>
    <w:rsid w:val="00375D34"/>
    <w:rsid w:val="003A101B"/>
    <w:rsid w:val="003B49CB"/>
    <w:rsid w:val="003F1F02"/>
    <w:rsid w:val="004363A7"/>
    <w:rsid w:val="00451300"/>
    <w:rsid w:val="00454873"/>
    <w:rsid w:val="00470668"/>
    <w:rsid w:val="004938ED"/>
    <w:rsid w:val="004A4EDD"/>
    <w:rsid w:val="004E6C3E"/>
    <w:rsid w:val="005149AA"/>
    <w:rsid w:val="00554D15"/>
    <w:rsid w:val="0056477B"/>
    <w:rsid w:val="00571B7C"/>
    <w:rsid w:val="00576796"/>
    <w:rsid w:val="005A7341"/>
    <w:rsid w:val="00601291"/>
    <w:rsid w:val="00647D8C"/>
    <w:rsid w:val="006967BD"/>
    <w:rsid w:val="006A7B1D"/>
    <w:rsid w:val="006D21A8"/>
    <w:rsid w:val="006D34E0"/>
    <w:rsid w:val="007048D0"/>
    <w:rsid w:val="00715799"/>
    <w:rsid w:val="007173D9"/>
    <w:rsid w:val="00734ADC"/>
    <w:rsid w:val="00741C56"/>
    <w:rsid w:val="007553CC"/>
    <w:rsid w:val="00760D58"/>
    <w:rsid w:val="007B681C"/>
    <w:rsid w:val="007C20A4"/>
    <w:rsid w:val="007F3811"/>
    <w:rsid w:val="00841A76"/>
    <w:rsid w:val="008438F0"/>
    <w:rsid w:val="00870BA1"/>
    <w:rsid w:val="008E332B"/>
    <w:rsid w:val="008F1367"/>
    <w:rsid w:val="0093027C"/>
    <w:rsid w:val="00932C64"/>
    <w:rsid w:val="009330FD"/>
    <w:rsid w:val="00941905"/>
    <w:rsid w:val="009569D4"/>
    <w:rsid w:val="00992960"/>
    <w:rsid w:val="00997B6B"/>
    <w:rsid w:val="009B2E7F"/>
    <w:rsid w:val="009F1B5E"/>
    <w:rsid w:val="00A06DC4"/>
    <w:rsid w:val="00A360CA"/>
    <w:rsid w:val="00A50FB2"/>
    <w:rsid w:val="00AA05A0"/>
    <w:rsid w:val="00AA102D"/>
    <w:rsid w:val="00AB3E89"/>
    <w:rsid w:val="00AE059A"/>
    <w:rsid w:val="00AF6738"/>
    <w:rsid w:val="00B41D20"/>
    <w:rsid w:val="00B758D2"/>
    <w:rsid w:val="00B81367"/>
    <w:rsid w:val="00BA69DD"/>
    <w:rsid w:val="00C33045"/>
    <w:rsid w:val="00C64C78"/>
    <w:rsid w:val="00C83254"/>
    <w:rsid w:val="00CA6C85"/>
    <w:rsid w:val="00CD2809"/>
    <w:rsid w:val="00D41458"/>
    <w:rsid w:val="00D62FAA"/>
    <w:rsid w:val="00D670A5"/>
    <w:rsid w:val="00D7498A"/>
    <w:rsid w:val="00D868A9"/>
    <w:rsid w:val="00DB003B"/>
    <w:rsid w:val="00DC0C5C"/>
    <w:rsid w:val="00DD26A6"/>
    <w:rsid w:val="00DE48EF"/>
    <w:rsid w:val="00DF6018"/>
    <w:rsid w:val="00E33B7B"/>
    <w:rsid w:val="00E64DB9"/>
    <w:rsid w:val="00E713CB"/>
    <w:rsid w:val="00EA1AE5"/>
    <w:rsid w:val="00EE4223"/>
    <w:rsid w:val="00F27ACA"/>
    <w:rsid w:val="00F306B2"/>
    <w:rsid w:val="00F435AE"/>
    <w:rsid w:val="00F94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 w:type="paragraph" w:styleId="Header">
    <w:name w:val="header"/>
    <w:basedOn w:val="Normal"/>
    <w:link w:val="HeaderChar"/>
    <w:uiPriority w:val="99"/>
    <w:unhideWhenUsed/>
    <w:rsid w:val="007B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1C"/>
  </w:style>
  <w:style w:type="paragraph" w:styleId="Footer">
    <w:name w:val="footer"/>
    <w:basedOn w:val="Normal"/>
    <w:link w:val="FooterChar"/>
    <w:uiPriority w:val="99"/>
    <w:semiHidden/>
    <w:unhideWhenUsed/>
    <w:rsid w:val="007B68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81C"/>
  </w:style>
  <w:style w:type="table" w:styleId="TableGrid">
    <w:name w:val="Table Grid"/>
    <w:basedOn w:val="TableNormal"/>
    <w:uiPriority w:val="59"/>
    <w:rsid w:val="000D3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6"/>
    <w:rPr>
      <w:rFonts w:ascii="Tahoma" w:hAnsi="Tahoma" w:cs="Tahoma"/>
      <w:sz w:val="16"/>
      <w:szCs w:val="16"/>
    </w:rPr>
  </w:style>
  <w:style w:type="paragraph" w:styleId="ListParagraph">
    <w:name w:val="List Paragraph"/>
    <w:basedOn w:val="Normal"/>
    <w:uiPriority w:val="34"/>
    <w:qFormat/>
    <w:rsid w:val="00DD26A6"/>
    <w:pPr>
      <w:ind w:left="720"/>
      <w:contextualSpacing/>
    </w:pPr>
  </w:style>
</w:styles>
</file>

<file path=word/webSettings.xml><?xml version="1.0" encoding="utf-8"?>
<w:webSettings xmlns:r="http://schemas.openxmlformats.org/officeDocument/2006/relationships" xmlns:w="http://schemas.openxmlformats.org/wordprocessingml/2006/main">
  <w:divs>
    <w:div w:id="64493500">
      <w:bodyDiv w:val="1"/>
      <w:marLeft w:val="0"/>
      <w:marRight w:val="0"/>
      <w:marTop w:val="0"/>
      <w:marBottom w:val="0"/>
      <w:divBdr>
        <w:top w:val="none" w:sz="0" w:space="0" w:color="auto"/>
        <w:left w:val="none" w:sz="0" w:space="0" w:color="auto"/>
        <w:bottom w:val="none" w:sz="0" w:space="0" w:color="auto"/>
        <w:right w:val="none" w:sz="0" w:space="0" w:color="auto"/>
      </w:divBdr>
    </w:div>
    <w:div w:id="1096367355">
      <w:bodyDiv w:val="1"/>
      <w:marLeft w:val="0"/>
      <w:marRight w:val="0"/>
      <w:marTop w:val="0"/>
      <w:marBottom w:val="0"/>
      <w:divBdr>
        <w:top w:val="none" w:sz="0" w:space="0" w:color="auto"/>
        <w:left w:val="none" w:sz="0" w:space="0" w:color="auto"/>
        <w:bottom w:val="none" w:sz="0" w:space="0" w:color="auto"/>
        <w:right w:val="none" w:sz="0" w:space="0" w:color="auto"/>
      </w:divBdr>
    </w:div>
    <w:div w:id="1344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Demico V. Graham</dc:creator>
  <cp:lastModifiedBy>BlaykeT</cp:lastModifiedBy>
  <cp:revision>5</cp:revision>
  <cp:lastPrinted>2016-08-01T18:41:00Z</cp:lastPrinted>
  <dcterms:created xsi:type="dcterms:W3CDTF">2022-09-14T16:33:00Z</dcterms:created>
  <dcterms:modified xsi:type="dcterms:W3CDTF">2022-09-14T22:27:00Z</dcterms:modified>
</cp:coreProperties>
</file>