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AF4DE" w14:textId="77777777" w:rsidR="00604E85" w:rsidRPr="009C2B71" w:rsidRDefault="0048456C" w:rsidP="00604E85">
      <w:pPr>
        <w:spacing w:before="240" w:after="0" w:line="240" w:lineRule="auto"/>
        <w:jc w:val="center"/>
        <w:rPr>
          <w:b/>
          <w:i/>
          <w:sz w:val="32"/>
        </w:rPr>
      </w:pPr>
      <w:r w:rsidRPr="00A33214">
        <w:rPr>
          <w:b/>
          <w:sz w:val="32"/>
        </w:rPr>
        <w:t>RSAI Position Pape</w:t>
      </w:r>
      <w:r>
        <w:rPr>
          <w:b/>
          <w:sz w:val="32"/>
        </w:rPr>
        <w:t>r</w:t>
      </w:r>
      <w:r w:rsidR="00604E85">
        <w:rPr>
          <w:b/>
          <w:sz w:val="32"/>
        </w:rPr>
        <w:t>:</w:t>
      </w:r>
      <w:r>
        <w:rPr>
          <w:b/>
          <w:sz w:val="32"/>
        </w:rPr>
        <w:t xml:space="preserve"> State Supplemental Assistance</w:t>
      </w:r>
      <w:r w:rsidR="00604E85">
        <w:rPr>
          <w:b/>
          <w:sz w:val="32"/>
        </w:rPr>
        <w:t xml:space="preserve"> for 2017</w:t>
      </w:r>
      <w:bookmarkStart w:id="0" w:name="_GoBack"/>
      <w:bookmarkEnd w:id="0"/>
    </w:p>
    <w:p w14:paraId="6F909BBF" w14:textId="77777777" w:rsidR="005C5178" w:rsidRDefault="0048456C" w:rsidP="005C5178">
      <w:pPr>
        <w:spacing w:before="120" w:after="0" w:line="240" w:lineRule="auto"/>
        <w:rPr>
          <w:rFonts w:ascii="Calibri" w:eastAsia="Calibri" w:hAnsi="Calibri" w:cs="Calibri"/>
          <w:sz w:val="20"/>
        </w:rPr>
      </w:pPr>
      <w:r w:rsidRPr="004A4F44">
        <w:rPr>
          <w:rFonts w:ascii="Calibri" w:eastAsia="Calibri" w:hAnsi="Calibri" w:cs="Calibri"/>
          <w:b/>
          <w:sz w:val="20"/>
        </w:rPr>
        <w:t>Background:</w:t>
      </w:r>
      <w:r w:rsidRPr="004A4F44">
        <w:rPr>
          <w:rFonts w:ascii="Calibri" w:eastAsia="Calibri" w:hAnsi="Calibri" w:cs="Calibri"/>
          <w:sz w:val="20"/>
        </w:rPr>
        <w:t xml:space="preserve"> The Iowa Legislature annually determines the state cost per pupil</w:t>
      </w:r>
      <w:r w:rsidR="006C6665">
        <w:rPr>
          <w:rFonts w:ascii="Calibri" w:eastAsia="Calibri" w:hAnsi="Calibri" w:cs="Calibri"/>
          <w:sz w:val="20"/>
        </w:rPr>
        <w:t xml:space="preserve">, which </w:t>
      </w:r>
      <w:r w:rsidRPr="004A4F44">
        <w:rPr>
          <w:rFonts w:ascii="Calibri" w:eastAsia="Calibri" w:hAnsi="Calibri" w:cs="Calibri"/>
          <w:sz w:val="20"/>
        </w:rPr>
        <w:t>pay</w:t>
      </w:r>
      <w:r w:rsidR="006C6665">
        <w:rPr>
          <w:rFonts w:ascii="Calibri" w:eastAsia="Calibri" w:hAnsi="Calibri" w:cs="Calibri"/>
          <w:sz w:val="20"/>
        </w:rPr>
        <w:t>s</w:t>
      </w:r>
      <w:r w:rsidRPr="004A4F44">
        <w:rPr>
          <w:rFonts w:ascii="Calibri" w:eastAsia="Calibri" w:hAnsi="Calibri" w:cs="Calibri"/>
          <w:sz w:val="20"/>
        </w:rPr>
        <w:t xml:space="preserve"> for the annual cost of doing business in Iowa schools.   Iowa Code</w:t>
      </w:r>
      <w:r w:rsidRPr="004A4F44">
        <w:rPr>
          <w:rStyle w:val="apple-converted-space"/>
          <w:rFonts w:cs="Arial"/>
          <w:color w:val="505050"/>
          <w:sz w:val="20"/>
          <w:szCs w:val="24"/>
          <w:shd w:val="clear" w:color="auto" w:fill="FFFFFF"/>
        </w:rPr>
        <w:t> </w:t>
      </w:r>
      <w:hyperlink r:id="rId8" w:history="1">
        <w:r w:rsidRPr="004A4F44">
          <w:rPr>
            <w:rStyle w:val="Hyperlink"/>
            <w:rFonts w:cs="Arial"/>
            <w:color w:val="336699"/>
            <w:sz w:val="20"/>
            <w:szCs w:val="24"/>
            <w:shd w:val="clear" w:color="auto" w:fill="FFFFFF"/>
          </w:rPr>
          <w:t>Section 257.8</w:t>
        </w:r>
      </w:hyperlink>
      <w:r w:rsidRPr="004A4F44">
        <w:rPr>
          <w:rStyle w:val="apple-converted-space"/>
          <w:rFonts w:cs="Arial"/>
          <w:color w:val="505050"/>
          <w:sz w:val="20"/>
          <w:szCs w:val="24"/>
          <w:shd w:val="clear" w:color="auto" w:fill="FFFFFF"/>
        </w:rPr>
        <w:t> </w:t>
      </w:r>
      <w:r w:rsidRPr="004A4F44">
        <w:rPr>
          <w:rFonts w:ascii="Calibri" w:eastAsia="Calibri" w:hAnsi="Calibri" w:cs="Calibri"/>
          <w:sz w:val="20"/>
        </w:rPr>
        <w:t xml:space="preserve">requires the per pupil </w:t>
      </w:r>
      <w:r w:rsidR="006C6665">
        <w:rPr>
          <w:rFonts w:ascii="Calibri" w:eastAsia="Calibri" w:hAnsi="Calibri" w:cs="Calibri"/>
          <w:sz w:val="20"/>
        </w:rPr>
        <w:t>amount</w:t>
      </w:r>
      <w:r w:rsidRPr="004A4F44">
        <w:rPr>
          <w:rFonts w:ascii="Calibri" w:eastAsia="Calibri" w:hAnsi="Calibri" w:cs="Calibri"/>
          <w:sz w:val="20"/>
        </w:rPr>
        <w:t xml:space="preserve"> be enacted by the Legislature and Governor within 30 days of the release of the Governor’s budget in the year prior to the budget year. </w:t>
      </w:r>
      <w:r w:rsidR="006C6665">
        <w:rPr>
          <w:rFonts w:ascii="Calibri" w:eastAsia="Calibri" w:hAnsi="Calibri" w:cs="Calibri"/>
          <w:sz w:val="20"/>
        </w:rPr>
        <w:t>In recent years</w:t>
      </w:r>
      <w:r w:rsidRPr="004A4F44">
        <w:rPr>
          <w:rFonts w:ascii="Calibri" w:eastAsia="Calibri" w:hAnsi="Calibri" w:cs="Calibri"/>
          <w:sz w:val="20"/>
        </w:rPr>
        <w:t>, Iowa’s state cost per pupil has e</w:t>
      </w:r>
      <w:r w:rsidR="006C6665">
        <w:rPr>
          <w:rFonts w:ascii="Calibri" w:eastAsia="Calibri" w:hAnsi="Calibri" w:cs="Calibri"/>
          <w:sz w:val="20"/>
        </w:rPr>
        <w:t>xperienced record low increases</w:t>
      </w:r>
      <w:r w:rsidRPr="004A4F44">
        <w:rPr>
          <w:rFonts w:ascii="Calibri" w:eastAsia="Calibri" w:hAnsi="Calibri" w:cs="Calibri"/>
          <w:sz w:val="20"/>
        </w:rPr>
        <w:t xml:space="preserve">.  </w:t>
      </w:r>
      <w:r w:rsidR="005C5178" w:rsidRPr="005C5178">
        <w:rPr>
          <w:rFonts w:ascii="Calibri" w:eastAsia="Calibri" w:hAnsi="Calibri" w:cs="Calibri"/>
          <w:sz w:val="20"/>
        </w:rPr>
        <w:t>In six of the last seven years, the rate of growth in the state cost per pupil has been lower than the cost increases typically experienced by school districts.</w:t>
      </w:r>
      <w:r w:rsidR="005C5178">
        <w:rPr>
          <w:rFonts w:ascii="Calibri" w:eastAsia="Calibri" w:hAnsi="Calibri" w:cs="Calibri"/>
          <w:sz w:val="20"/>
        </w:rPr>
        <w:t xml:space="preserve"> Additionally, the rate has been set too late by the legislature for school districts to rationally conduct business.</w:t>
      </w:r>
    </w:p>
    <w:p w14:paraId="19B3E9F2" w14:textId="77777777" w:rsidR="0048456C" w:rsidRPr="004A4F44" w:rsidRDefault="009C2B71" w:rsidP="005C5178">
      <w:pPr>
        <w:spacing w:before="120" w:after="0" w:line="240" w:lineRule="auto"/>
        <w:rPr>
          <w:rFonts w:ascii="Calibri" w:eastAsia="Calibri" w:hAnsi="Calibri" w:cs="Calibri"/>
          <w:sz w:val="20"/>
        </w:rPr>
      </w:pPr>
      <w:r>
        <w:rPr>
          <w:noProof/>
          <w:lang w:eastAsia="zh-CN"/>
        </w:rPr>
        <w:drawing>
          <wp:anchor distT="0" distB="0" distL="114300" distR="114300" simplePos="0" relativeHeight="251658240" behindDoc="1" locked="0" layoutInCell="1" allowOverlap="1" wp14:anchorId="72FDB9DD" wp14:editId="0AD03B84">
            <wp:simplePos x="0" y="0"/>
            <wp:positionH relativeFrom="column">
              <wp:posOffset>1908810</wp:posOffset>
            </wp:positionH>
            <wp:positionV relativeFrom="paragraph">
              <wp:posOffset>76200</wp:posOffset>
            </wp:positionV>
            <wp:extent cx="4396105" cy="3121660"/>
            <wp:effectExtent l="0" t="0" r="4445" b="2540"/>
            <wp:wrapTight wrapText="bothSides">
              <wp:wrapPolygon edited="0">
                <wp:start x="0" y="0"/>
                <wp:lineTo x="0" y="21486"/>
                <wp:lineTo x="21528" y="21486"/>
                <wp:lineTo x="21528"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5C5178" w:rsidRPr="00AD37D4">
        <w:rPr>
          <w:rFonts w:ascii="Arial Narrow" w:eastAsia="Times New Roman" w:hAnsi="Arial Narrow" w:cs="Arial"/>
        </w:rPr>
        <w:t xml:space="preserve"> </w:t>
      </w:r>
      <w:r w:rsidR="0048456C" w:rsidRPr="004A4F44">
        <w:rPr>
          <w:rFonts w:ascii="Calibri" w:eastAsia="Calibri" w:hAnsi="Calibri" w:cs="Calibri"/>
          <w:b/>
          <w:sz w:val="20"/>
        </w:rPr>
        <w:t>Current Reality:</w:t>
      </w:r>
      <w:r w:rsidR="0048456C" w:rsidRPr="004A4F44">
        <w:rPr>
          <w:rFonts w:ascii="Calibri" w:eastAsia="Calibri" w:hAnsi="Calibri" w:cs="Calibri"/>
          <w:sz w:val="20"/>
        </w:rPr>
        <w:t xml:space="preserve">  </w:t>
      </w:r>
    </w:p>
    <w:p w14:paraId="2622B09F" w14:textId="77777777" w:rsidR="0048456C" w:rsidRPr="004A4F44" w:rsidRDefault="0048456C" w:rsidP="006C6665">
      <w:pPr>
        <w:pStyle w:val="ListParagraph"/>
        <w:widowControl w:val="0"/>
        <w:numPr>
          <w:ilvl w:val="0"/>
          <w:numId w:val="5"/>
        </w:numPr>
        <w:spacing w:after="480" w:line="240" w:lineRule="auto"/>
        <w:rPr>
          <w:rFonts w:ascii="Calibri" w:eastAsia="Calibri" w:hAnsi="Calibri" w:cs="Calibri"/>
          <w:sz w:val="20"/>
        </w:rPr>
      </w:pPr>
      <w:r w:rsidRPr="004A4F44">
        <w:rPr>
          <w:rFonts w:ascii="Calibri" w:eastAsia="Calibri" w:hAnsi="Calibri" w:cs="Calibri"/>
          <w:sz w:val="20"/>
        </w:rPr>
        <w:t xml:space="preserve">The 1.25% increase in the state cost per pupil for the 2015-16 school year was signed by the Governor on July 3, two days into the fiscal year. </w:t>
      </w:r>
      <w:r w:rsidR="00604E85">
        <w:rPr>
          <w:rFonts w:ascii="Calibri" w:eastAsia="Calibri" w:hAnsi="Calibri" w:cs="Calibri"/>
          <w:sz w:val="20"/>
        </w:rPr>
        <w:t>That year, the state general fund grew by more than 6%.</w:t>
      </w:r>
    </w:p>
    <w:p w14:paraId="1BDE9716" w14:textId="77777777" w:rsidR="0048456C" w:rsidRPr="004A4F44" w:rsidRDefault="0048456C" w:rsidP="0048456C">
      <w:pPr>
        <w:pStyle w:val="ListParagraph"/>
        <w:widowControl w:val="0"/>
        <w:numPr>
          <w:ilvl w:val="0"/>
          <w:numId w:val="5"/>
        </w:numPr>
        <w:spacing w:before="240" w:after="480" w:line="240" w:lineRule="auto"/>
        <w:rPr>
          <w:rFonts w:ascii="Calibri" w:eastAsia="Calibri" w:hAnsi="Calibri" w:cs="Calibri"/>
          <w:sz w:val="20"/>
        </w:rPr>
      </w:pPr>
      <w:r w:rsidRPr="004A4F44">
        <w:rPr>
          <w:rFonts w:ascii="Calibri" w:eastAsia="Calibri" w:hAnsi="Calibri" w:cs="Calibri"/>
          <w:sz w:val="20"/>
        </w:rPr>
        <w:t xml:space="preserve">The 2016-17 </w:t>
      </w:r>
      <w:r w:rsidR="006C6665">
        <w:rPr>
          <w:rFonts w:ascii="Calibri" w:eastAsia="Calibri" w:hAnsi="Calibri" w:cs="Calibri"/>
          <w:sz w:val="20"/>
        </w:rPr>
        <w:t>increase</w:t>
      </w:r>
      <w:r w:rsidRPr="004A4F44">
        <w:rPr>
          <w:rFonts w:ascii="Calibri" w:eastAsia="Calibri" w:hAnsi="Calibri" w:cs="Calibri"/>
          <w:sz w:val="20"/>
        </w:rPr>
        <w:t xml:space="preserve"> </w:t>
      </w:r>
      <w:r w:rsidR="004A7A41">
        <w:rPr>
          <w:rFonts w:ascii="Calibri" w:eastAsia="Calibri" w:hAnsi="Calibri" w:cs="Calibri"/>
          <w:sz w:val="20"/>
        </w:rPr>
        <w:t xml:space="preserve">of 2.25% was signed by the Governor on April 6, 2016 (less than 90 days prior to the start of </w:t>
      </w:r>
      <w:r w:rsidR="006C6665">
        <w:rPr>
          <w:rFonts w:ascii="Calibri" w:eastAsia="Calibri" w:hAnsi="Calibri" w:cs="Calibri"/>
          <w:sz w:val="20"/>
        </w:rPr>
        <w:t>FY 2016-17</w:t>
      </w:r>
      <w:r w:rsidR="004A7A41">
        <w:rPr>
          <w:rFonts w:ascii="Calibri" w:eastAsia="Calibri" w:hAnsi="Calibri" w:cs="Calibri"/>
          <w:sz w:val="20"/>
        </w:rPr>
        <w:t>.)</w:t>
      </w:r>
    </w:p>
    <w:p w14:paraId="4556D9DE" w14:textId="77777777" w:rsidR="0048456C" w:rsidRDefault="004A7A41" w:rsidP="0048456C">
      <w:pPr>
        <w:pStyle w:val="ListParagraph"/>
        <w:widowControl w:val="0"/>
        <w:numPr>
          <w:ilvl w:val="0"/>
          <w:numId w:val="5"/>
        </w:numPr>
        <w:spacing w:before="240" w:after="480" w:line="240" w:lineRule="auto"/>
        <w:rPr>
          <w:rFonts w:ascii="Calibri" w:eastAsia="Calibri" w:hAnsi="Calibri" w:cs="Calibri"/>
          <w:sz w:val="20"/>
        </w:rPr>
      </w:pPr>
      <w:r>
        <w:rPr>
          <w:rFonts w:ascii="Calibri" w:eastAsia="Calibri" w:hAnsi="Calibri" w:cs="Calibri"/>
          <w:sz w:val="20"/>
        </w:rPr>
        <w:t>Iowa’s</w:t>
      </w:r>
      <w:r w:rsidR="0048456C" w:rsidRPr="004A4F44">
        <w:rPr>
          <w:rFonts w:ascii="Calibri" w:eastAsia="Calibri" w:hAnsi="Calibri" w:cs="Calibri"/>
          <w:sz w:val="20"/>
        </w:rPr>
        <w:t xml:space="preserve"> </w:t>
      </w:r>
      <w:r w:rsidR="009C2B71">
        <w:rPr>
          <w:rFonts w:ascii="Calibri" w:eastAsia="Calibri" w:hAnsi="Calibri" w:cs="Calibri"/>
          <w:sz w:val="20"/>
        </w:rPr>
        <w:t xml:space="preserve">2015 </w:t>
      </w:r>
      <w:r w:rsidR="0048456C" w:rsidRPr="004A4F44">
        <w:rPr>
          <w:rFonts w:ascii="Calibri" w:eastAsia="Calibri" w:hAnsi="Calibri" w:cs="Calibri"/>
          <w:sz w:val="20"/>
        </w:rPr>
        <w:t xml:space="preserve">per pupil </w:t>
      </w:r>
      <w:r w:rsidR="0048456C">
        <w:rPr>
          <w:rFonts w:ascii="Calibri" w:eastAsia="Calibri" w:hAnsi="Calibri" w:cs="Calibri"/>
          <w:sz w:val="20"/>
        </w:rPr>
        <w:t>expenditure</w:t>
      </w:r>
      <w:r w:rsidR="0048456C" w:rsidRPr="004A4F44">
        <w:rPr>
          <w:rFonts w:ascii="Calibri" w:eastAsia="Calibri" w:hAnsi="Calibri" w:cs="Calibri"/>
          <w:sz w:val="20"/>
        </w:rPr>
        <w:t xml:space="preserve"> levels</w:t>
      </w:r>
      <w:r>
        <w:rPr>
          <w:rFonts w:ascii="Calibri" w:eastAsia="Calibri" w:hAnsi="Calibri" w:cs="Calibri"/>
          <w:sz w:val="20"/>
        </w:rPr>
        <w:t xml:space="preserve"> are below the national average by $1,087, ranking 27</w:t>
      </w:r>
      <w:r w:rsidRPr="004A7A41">
        <w:rPr>
          <w:rFonts w:ascii="Calibri" w:eastAsia="Calibri" w:hAnsi="Calibri" w:cs="Calibri"/>
          <w:sz w:val="20"/>
          <w:vertAlign w:val="superscript"/>
        </w:rPr>
        <w:t>th</w:t>
      </w:r>
      <w:r>
        <w:rPr>
          <w:rFonts w:ascii="Calibri" w:eastAsia="Calibri" w:hAnsi="Calibri" w:cs="Calibri"/>
          <w:sz w:val="20"/>
        </w:rPr>
        <w:t xml:space="preserve"> in the nation</w:t>
      </w:r>
      <w:r w:rsidR="0048456C" w:rsidRPr="004A4F44">
        <w:rPr>
          <w:rFonts w:ascii="Calibri" w:eastAsia="Calibri" w:hAnsi="Calibri" w:cs="Calibri"/>
          <w:sz w:val="20"/>
        </w:rPr>
        <w:t xml:space="preserve">. </w:t>
      </w:r>
      <w:r>
        <w:rPr>
          <w:rFonts w:ascii="Calibri" w:eastAsia="Calibri" w:hAnsi="Calibri" w:cs="Calibri"/>
          <w:sz w:val="20"/>
        </w:rPr>
        <w:t xml:space="preserve">This shortfall is 10% below the national average despite Iowa’s </w:t>
      </w:r>
      <w:r w:rsidR="009C2B71">
        <w:rPr>
          <w:rFonts w:ascii="Calibri" w:eastAsia="Calibri" w:hAnsi="Calibri" w:cs="Calibri"/>
          <w:sz w:val="20"/>
        </w:rPr>
        <w:t xml:space="preserve">strong </w:t>
      </w:r>
      <w:r>
        <w:rPr>
          <w:rFonts w:ascii="Calibri" w:eastAsia="Calibri" w:hAnsi="Calibri" w:cs="Calibri"/>
          <w:sz w:val="20"/>
        </w:rPr>
        <w:t xml:space="preserve">per capita personal income growth, with Iowa ranking 6th in the nation from 2003-13. </w:t>
      </w:r>
    </w:p>
    <w:p w14:paraId="2FF1004D" w14:textId="77777777" w:rsidR="004A7A41" w:rsidRDefault="009C2B71" w:rsidP="004A7A41">
      <w:pPr>
        <w:pStyle w:val="ListParagraph"/>
        <w:numPr>
          <w:ilvl w:val="0"/>
          <w:numId w:val="5"/>
        </w:numPr>
        <w:shd w:val="clear" w:color="auto" w:fill="FFFFFF"/>
        <w:spacing w:before="100" w:beforeAutospacing="1" w:after="100" w:afterAutospacing="1" w:line="240" w:lineRule="auto"/>
        <w:rPr>
          <w:rFonts w:ascii="Calibri" w:eastAsia="Calibri" w:hAnsi="Calibri" w:cs="Calibri"/>
          <w:sz w:val="20"/>
        </w:rPr>
      </w:pPr>
      <w:r>
        <w:rPr>
          <w:rFonts w:ascii="Calibri" w:eastAsia="Calibri" w:hAnsi="Calibri" w:cs="Calibri"/>
          <w:sz w:val="20"/>
        </w:rPr>
        <w:t>T</w:t>
      </w:r>
      <w:r w:rsidR="00604E85">
        <w:rPr>
          <w:rFonts w:ascii="Calibri" w:eastAsia="Calibri" w:hAnsi="Calibri" w:cs="Calibri"/>
          <w:sz w:val="20"/>
        </w:rPr>
        <w:t>here</w:t>
      </w:r>
      <w:r w:rsidR="004A7A41">
        <w:rPr>
          <w:rFonts w:ascii="Calibri" w:eastAsia="Calibri" w:hAnsi="Calibri" w:cs="Calibri"/>
          <w:sz w:val="20"/>
        </w:rPr>
        <w:t xml:space="preserve"> has been a</w:t>
      </w:r>
      <w:r w:rsidR="004A7A41" w:rsidRPr="004A7A41">
        <w:rPr>
          <w:rFonts w:ascii="Calibri" w:eastAsia="Calibri" w:hAnsi="Calibri" w:cs="Calibri"/>
          <w:sz w:val="20"/>
        </w:rPr>
        <w:t xml:space="preserve"> slight improvement in Iowa’s expenditure ranking </w:t>
      </w:r>
      <w:r w:rsidR="004A7A41">
        <w:rPr>
          <w:rFonts w:ascii="Calibri" w:eastAsia="Calibri" w:hAnsi="Calibri" w:cs="Calibri"/>
          <w:sz w:val="20"/>
        </w:rPr>
        <w:t xml:space="preserve">in the last two years, </w:t>
      </w:r>
      <w:r>
        <w:rPr>
          <w:rFonts w:ascii="Calibri" w:eastAsia="Calibri" w:hAnsi="Calibri" w:cs="Calibri"/>
          <w:sz w:val="20"/>
        </w:rPr>
        <w:t xml:space="preserve">due to </w:t>
      </w:r>
      <w:r w:rsidR="00604E85">
        <w:rPr>
          <w:rFonts w:ascii="Calibri" w:eastAsia="Calibri" w:hAnsi="Calibri" w:cs="Calibri"/>
          <w:sz w:val="20"/>
        </w:rPr>
        <w:t>recent invest</w:t>
      </w:r>
      <w:r w:rsidR="005C5178">
        <w:rPr>
          <w:rFonts w:ascii="Calibri" w:eastAsia="Calibri" w:hAnsi="Calibri" w:cs="Calibri"/>
          <w:sz w:val="20"/>
        </w:rPr>
        <w:t>ment</w:t>
      </w:r>
      <w:r w:rsidR="006C6665">
        <w:rPr>
          <w:rFonts w:ascii="Calibri" w:eastAsia="Calibri" w:hAnsi="Calibri" w:cs="Calibri"/>
          <w:sz w:val="20"/>
        </w:rPr>
        <w:t xml:space="preserve">s </w:t>
      </w:r>
      <w:r>
        <w:rPr>
          <w:rFonts w:ascii="Calibri" w:eastAsia="Calibri" w:hAnsi="Calibri" w:cs="Calibri"/>
          <w:sz w:val="20"/>
        </w:rPr>
        <w:t>for</w:t>
      </w:r>
      <w:r w:rsidR="004A7A41" w:rsidRPr="004A7A41">
        <w:rPr>
          <w:rFonts w:ascii="Calibri" w:eastAsia="Calibri" w:hAnsi="Calibri" w:cs="Calibri"/>
          <w:sz w:val="20"/>
        </w:rPr>
        <w:t xml:space="preserve"> the teacher lea</w:t>
      </w:r>
      <w:r w:rsidR="005C5178">
        <w:rPr>
          <w:rFonts w:ascii="Calibri" w:eastAsia="Calibri" w:hAnsi="Calibri" w:cs="Calibri"/>
          <w:sz w:val="20"/>
        </w:rPr>
        <w:t xml:space="preserve">dership and compensation system. </w:t>
      </w:r>
      <w:r w:rsidR="00604E85">
        <w:rPr>
          <w:rFonts w:ascii="Calibri" w:eastAsia="Calibri" w:hAnsi="Calibri" w:cs="Calibri"/>
          <w:sz w:val="20"/>
        </w:rPr>
        <w:t>W</w:t>
      </w:r>
      <w:r w:rsidR="004A7A41" w:rsidRPr="004A7A41">
        <w:rPr>
          <w:rFonts w:ascii="Calibri" w:eastAsia="Calibri" w:hAnsi="Calibri" w:cs="Calibri"/>
          <w:sz w:val="20"/>
        </w:rPr>
        <w:t xml:space="preserve">ithout meaningful resources to </w:t>
      </w:r>
      <w:r>
        <w:rPr>
          <w:rFonts w:ascii="Calibri" w:eastAsia="Calibri" w:hAnsi="Calibri" w:cs="Calibri"/>
          <w:sz w:val="20"/>
        </w:rPr>
        <w:t>support</w:t>
      </w:r>
      <w:r w:rsidR="004A7A41" w:rsidRPr="004A7A41">
        <w:rPr>
          <w:rFonts w:ascii="Calibri" w:eastAsia="Calibri" w:hAnsi="Calibri" w:cs="Calibri"/>
          <w:sz w:val="20"/>
        </w:rPr>
        <w:t xml:space="preserve"> the regular program</w:t>
      </w:r>
      <w:r w:rsidR="00604E85">
        <w:rPr>
          <w:rFonts w:ascii="Calibri" w:eastAsia="Calibri" w:hAnsi="Calibri" w:cs="Calibri"/>
          <w:sz w:val="20"/>
        </w:rPr>
        <w:t>, schools see class size increases and inadequate funds for operating costs to keep doing the business of school</w:t>
      </w:r>
      <w:r w:rsidR="004A7A41" w:rsidRPr="004A7A41">
        <w:rPr>
          <w:rFonts w:ascii="Calibri" w:eastAsia="Calibri" w:hAnsi="Calibri" w:cs="Calibri"/>
          <w:sz w:val="20"/>
        </w:rPr>
        <w:t xml:space="preserve">.  </w:t>
      </w:r>
      <w:r w:rsidR="005C5178">
        <w:rPr>
          <w:rFonts w:ascii="Calibri" w:eastAsia="Calibri" w:hAnsi="Calibri" w:cs="Calibri"/>
          <w:sz w:val="20"/>
        </w:rPr>
        <w:t xml:space="preserve">TLC has further contributed to </w:t>
      </w:r>
      <w:r>
        <w:rPr>
          <w:rFonts w:ascii="Calibri" w:eastAsia="Calibri" w:hAnsi="Calibri" w:cs="Calibri"/>
          <w:sz w:val="20"/>
        </w:rPr>
        <w:t xml:space="preserve">teacher </w:t>
      </w:r>
      <w:r w:rsidR="005C5178">
        <w:rPr>
          <w:rFonts w:ascii="Calibri" w:eastAsia="Calibri" w:hAnsi="Calibri" w:cs="Calibri"/>
          <w:sz w:val="20"/>
        </w:rPr>
        <w:t>shortage areas, further magnified in rural districts.</w:t>
      </w:r>
    </w:p>
    <w:p w14:paraId="4BA55DF8" w14:textId="77777777" w:rsidR="004A7A41" w:rsidRPr="004A7A41" w:rsidRDefault="004A7A41" w:rsidP="004A7A41">
      <w:pPr>
        <w:pStyle w:val="ListParagraph"/>
        <w:numPr>
          <w:ilvl w:val="0"/>
          <w:numId w:val="5"/>
        </w:numPr>
        <w:shd w:val="clear" w:color="auto" w:fill="FFFFFF"/>
        <w:spacing w:before="100" w:beforeAutospacing="1" w:after="100" w:afterAutospacing="1" w:line="240" w:lineRule="auto"/>
        <w:rPr>
          <w:rFonts w:ascii="Calibri" w:eastAsia="Calibri" w:hAnsi="Calibri" w:cs="Calibri"/>
          <w:sz w:val="20"/>
        </w:rPr>
      </w:pPr>
      <w:r w:rsidRPr="004A7A41">
        <w:rPr>
          <w:rFonts w:ascii="Calibri" w:eastAsia="Calibri" w:hAnsi="Calibri" w:cs="Calibri"/>
          <w:sz w:val="20"/>
        </w:rPr>
        <w:t>The costs of staff continue to rise, as do the costs of curriculum, textbooks, utilities, transportation and supplies. Additional requirements demand more resources: early literacy efforts, summer school, before- and after-school programs, needy school populations, increasing STEM program, implementation of higher expectations through the Iowa Core and the goal to graduate every student college or career ready for a successful future.</w:t>
      </w:r>
    </w:p>
    <w:p w14:paraId="2212BE53" w14:textId="77777777" w:rsidR="0048456C" w:rsidRPr="006C6665" w:rsidRDefault="0048456C" w:rsidP="006C6665">
      <w:pPr>
        <w:pStyle w:val="ListParagraph"/>
        <w:numPr>
          <w:ilvl w:val="0"/>
          <w:numId w:val="6"/>
        </w:numPr>
        <w:spacing w:line="240" w:lineRule="auto"/>
        <w:rPr>
          <w:rFonts w:ascii="Calibri" w:eastAsia="Calibri" w:hAnsi="Calibri" w:cs="Calibri"/>
          <w:sz w:val="20"/>
        </w:rPr>
      </w:pPr>
      <w:r w:rsidRPr="004A4F44">
        <w:rPr>
          <w:rFonts w:ascii="Calibri" w:eastAsia="Calibri" w:hAnsi="Calibri" w:cs="Calibri"/>
          <w:sz w:val="20"/>
        </w:rPr>
        <w:t xml:space="preserve">Since Iowa’s funding formula is based on enrollment, districts with fewer students </w:t>
      </w:r>
      <w:r w:rsidR="006C6665">
        <w:rPr>
          <w:rFonts w:ascii="Calibri" w:eastAsia="Calibri" w:hAnsi="Calibri" w:cs="Calibri"/>
          <w:sz w:val="20"/>
        </w:rPr>
        <w:t xml:space="preserve">then last year </w:t>
      </w:r>
      <w:r w:rsidRPr="004A4F44">
        <w:rPr>
          <w:rFonts w:ascii="Calibri" w:eastAsia="Calibri" w:hAnsi="Calibri" w:cs="Calibri"/>
          <w:sz w:val="20"/>
        </w:rPr>
        <w:t>are doubly challenged to provid</w:t>
      </w:r>
      <w:r w:rsidR="006C6665">
        <w:rPr>
          <w:rFonts w:ascii="Calibri" w:eastAsia="Calibri" w:hAnsi="Calibri" w:cs="Calibri"/>
          <w:sz w:val="20"/>
        </w:rPr>
        <w:t>e great programs and supports</w:t>
      </w:r>
      <w:r w:rsidRPr="006C6665">
        <w:rPr>
          <w:rFonts w:ascii="Calibri" w:eastAsia="Calibri" w:hAnsi="Calibri" w:cs="Calibri"/>
          <w:sz w:val="20"/>
        </w:rPr>
        <w:t xml:space="preserve">. </w:t>
      </w:r>
      <w:r w:rsidR="006C6665" w:rsidRPr="006C6665">
        <w:rPr>
          <w:rFonts w:ascii="Calibri" w:eastAsia="Calibri" w:hAnsi="Calibri" w:cs="Calibri"/>
          <w:sz w:val="20"/>
        </w:rPr>
        <w:t xml:space="preserve">Formula funding is especially critical to rural Iowa due to transportation costs, economies of scale, unique needs of students, mandates and compliance, the need for quality AEA services, and the ability to attract and retain quality staff in rural Iowa. </w:t>
      </w:r>
    </w:p>
    <w:p w14:paraId="441C37B7" w14:textId="77777777" w:rsidR="006C6665" w:rsidRPr="006C6665" w:rsidRDefault="0048456C" w:rsidP="006C6665">
      <w:pPr>
        <w:spacing w:line="240" w:lineRule="auto"/>
        <w:rPr>
          <w:rFonts w:cs="Arial"/>
          <w:sz w:val="20"/>
          <w:szCs w:val="20"/>
        </w:rPr>
      </w:pPr>
      <w:r w:rsidRPr="006C6665">
        <w:rPr>
          <w:rFonts w:eastAsia="Calibri" w:cs="Calibri"/>
          <w:b/>
          <w:sz w:val="20"/>
          <w:szCs w:val="20"/>
        </w:rPr>
        <w:t xml:space="preserve">State Supplemental Assistance 6%:   </w:t>
      </w:r>
      <w:r w:rsidR="006C6665" w:rsidRPr="006C6665">
        <w:rPr>
          <w:rFonts w:cs="Arial"/>
          <w:sz w:val="20"/>
          <w:szCs w:val="20"/>
        </w:rPr>
        <w:t xml:space="preserve">The survival of rural schools depends on the return of education as the state’s top priority with an investment of meaningful new resources to improve opportunities for students.  The resurrection of this priority will take several years of significant investment, thus RSAI supports a minimum of 6% noncategorical funding, as long as new mandates are funded outside of the formula and not instead of it. </w:t>
      </w:r>
    </w:p>
    <w:p w14:paraId="09923EDA" w14:textId="77777777" w:rsidR="006C6665" w:rsidRPr="006C6665" w:rsidRDefault="006C6665" w:rsidP="006C6665">
      <w:pPr>
        <w:spacing w:line="240" w:lineRule="auto"/>
        <w:rPr>
          <w:rFonts w:cs="Arial"/>
          <w:sz w:val="20"/>
          <w:szCs w:val="20"/>
        </w:rPr>
      </w:pPr>
      <w:r w:rsidRPr="006C6665">
        <w:rPr>
          <w:rFonts w:cs="Arial"/>
          <w:sz w:val="20"/>
          <w:szCs w:val="20"/>
        </w:rPr>
        <w:t>RSAI supports a r</w:t>
      </w:r>
      <w:r w:rsidRPr="006C6665">
        <w:rPr>
          <w:rFonts w:eastAsia="Calibri" w:cs="Arial"/>
          <w:sz w:val="20"/>
          <w:szCs w:val="20"/>
        </w:rPr>
        <w:t>eturn to the legal and historical practice of setting the state cost per pupil as required by Iowa law, which exemplifies the prioritization of education. If the General Assembly does not set SSA in according with statutory timelines, the percent of SSA immediately reverts to the percent of state revenue growth predicted by the Revenue Estimating Conference (REC) for the year of the school budget being set, based on the March REC estimate for the out year, prior to any state general fund revenue reductions imposed by the legislature.</w:t>
      </w:r>
    </w:p>
    <w:p w14:paraId="4A81DCBA" w14:textId="77777777" w:rsidR="00651A15" w:rsidRPr="0048456C" w:rsidRDefault="00651A15" w:rsidP="005C5178">
      <w:pPr>
        <w:spacing w:line="240" w:lineRule="auto"/>
        <w:rPr>
          <w:rFonts w:ascii="Calibri" w:eastAsia="Calibri" w:hAnsi="Calibri" w:cs="Calibri"/>
          <w:sz w:val="20"/>
        </w:rPr>
      </w:pPr>
    </w:p>
    <w:sectPr w:rsidR="00651A15" w:rsidRPr="0048456C" w:rsidSect="006C6665">
      <w:headerReference w:type="default" r:id="rId10"/>
      <w:pgSz w:w="12240" w:h="15840"/>
      <w:pgMar w:top="1260" w:right="1080" w:bottom="36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56617" w14:textId="77777777" w:rsidR="00CD4925" w:rsidRDefault="00CD4925" w:rsidP="00636F64">
      <w:pPr>
        <w:spacing w:after="0" w:line="240" w:lineRule="auto"/>
      </w:pPr>
      <w:r>
        <w:separator/>
      </w:r>
    </w:p>
  </w:endnote>
  <w:endnote w:type="continuationSeparator" w:id="0">
    <w:p w14:paraId="7A16FFD2" w14:textId="77777777" w:rsidR="00CD4925" w:rsidRDefault="00CD4925"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B052E" w14:textId="77777777" w:rsidR="00CD4925" w:rsidRDefault="00CD4925" w:rsidP="00636F64">
      <w:pPr>
        <w:spacing w:after="0" w:line="240" w:lineRule="auto"/>
      </w:pPr>
      <w:r>
        <w:separator/>
      </w:r>
    </w:p>
  </w:footnote>
  <w:footnote w:type="continuationSeparator" w:id="0">
    <w:p w14:paraId="2CC85A0E" w14:textId="77777777" w:rsidR="00CD4925" w:rsidRDefault="00CD4925" w:rsidP="00636F6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5E3A" w14:textId="77777777" w:rsidR="00636F64" w:rsidRDefault="00636F64" w:rsidP="00636F64">
    <w:r>
      <w:rPr>
        <w:noProof/>
        <w:lang w:eastAsia="zh-CN"/>
      </w:rPr>
      <w:drawing>
        <wp:anchor distT="0" distB="0" distL="114300" distR="114300" simplePos="0" relativeHeight="251659264" behindDoc="1" locked="0" layoutInCell="1" allowOverlap="1" wp14:anchorId="7C74EBE8" wp14:editId="2C8B292E">
          <wp:simplePos x="0" y="0"/>
          <wp:positionH relativeFrom="column">
            <wp:posOffset>3145790</wp:posOffset>
          </wp:positionH>
          <wp:positionV relativeFrom="paragraph">
            <wp:posOffset>-410560</wp:posOffset>
          </wp:positionV>
          <wp:extent cx="1776095"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mc:AlternateContent>
        <mc:Choice Requires="wps">
          <w:drawing>
            <wp:anchor distT="0" distB="0" distL="114300" distR="114300" simplePos="0" relativeHeight="251663360" behindDoc="0" locked="0" layoutInCell="1" allowOverlap="1" wp14:anchorId="71B793F6" wp14:editId="2AB444CC">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E3B6275"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lang w:eastAsia="zh-CN"/>
      </w:rPr>
      <mc:AlternateContent>
        <mc:Choice Requires="wps">
          <w:drawing>
            <wp:anchor distT="0" distB="0" distL="114300" distR="114300" simplePos="0" relativeHeight="251662336" behindDoc="0" locked="0" layoutInCell="1" allowOverlap="1" wp14:anchorId="60C00679" wp14:editId="41C52AEC">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lang w:eastAsia="zh-CN"/>
      </w:rPr>
      <mc:AlternateContent>
        <mc:Choice Requires="wps">
          <w:drawing>
            <wp:anchor distT="0" distB="0" distL="114300" distR="114300" simplePos="0" relativeHeight="251661312" behindDoc="0" locked="0" layoutInCell="1" allowOverlap="1" wp14:anchorId="440C66D7" wp14:editId="2AD22E68">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lang w:eastAsia="zh-CN"/>
      </w:rPr>
      <mc:AlternateContent>
        <mc:Choice Requires="wps">
          <w:drawing>
            <wp:anchor distT="0" distB="0" distL="114300" distR="114300" simplePos="0" relativeHeight="251660288" behindDoc="0" locked="0" layoutInCell="1" allowOverlap="1" wp14:anchorId="5C4B1FA0" wp14:editId="490920C8">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EEDB0FD"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14:paraId="100594BD" w14:textId="77777777" w:rsidR="00636F64" w:rsidRDefault="00636F6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A12EC"/>
    <w:multiLevelType w:val="hybridMultilevel"/>
    <w:tmpl w:val="2602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96444"/>
    <w:rsid w:val="000A6FD3"/>
    <w:rsid w:val="000C1879"/>
    <w:rsid w:val="000C58C0"/>
    <w:rsid w:val="000C617F"/>
    <w:rsid w:val="000D48D2"/>
    <w:rsid w:val="000E2481"/>
    <w:rsid w:val="001022AC"/>
    <w:rsid w:val="001026E8"/>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918F6"/>
    <w:rsid w:val="001B46E2"/>
    <w:rsid w:val="001D16B9"/>
    <w:rsid w:val="001D2879"/>
    <w:rsid w:val="001D3510"/>
    <w:rsid w:val="001D6A34"/>
    <w:rsid w:val="001E0A5C"/>
    <w:rsid w:val="001F4A3D"/>
    <w:rsid w:val="0020306B"/>
    <w:rsid w:val="00231104"/>
    <w:rsid w:val="00232298"/>
    <w:rsid w:val="0023343D"/>
    <w:rsid w:val="00256E48"/>
    <w:rsid w:val="00256EA4"/>
    <w:rsid w:val="00271073"/>
    <w:rsid w:val="002764DB"/>
    <w:rsid w:val="00282ADF"/>
    <w:rsid w:val="00290F1D"/>
    <w:rsid w:val="00295CD0"/>
    <w:rsid w:val="002A305A"/>
    <w:rsid w:val="002A5125"/>
    <w:rsid w:val="002C55E6"/>
    <w:rsid w:val="002C7044"/>
    <w:rsid w:val="002D0F2B"/>
    <w:rsid w:val="002D2BD2"/>
    <w:rsid w:val="002D3D46"/>
    <w:rsid w:val="002D43B3"/>
    <w:rsid w:val="002E304C"/>
    <w:rsid w:val="0030077D"/>
    <w:rsid w:val="00301F15"/>
    <w:rsid w:val="003107B3"/>
    <w:rsid w:val="00311CE6"/>
    <w:rsid w:val="00316CFF"/>
    <w:rsid w:val="00322B0A"/>
    <w:rsid w:val="003420EB"/>
    <w:rsid w:val="0034576D"/>
    <w:rsid w:val="00361A1E"/>
    <w:rsid w:val="003640C6"/>
    <w:rsid w:val="0036770C"/>
    <w:rsid w:val="00382EE6"/>
    <w:rsid w:val="00390B9F"/>
    <w:rsid w:val="003924BE"/>
    <w:rsid w:val="00394B76"/>
    <w:rsid w:val="003A32A9"/>
    <w:rsid w:val="003A35B2"/>
    <w:rsid w:val="003A5D3F"/>
    <w:rsid w:val="003B29EE"/>
    <w:rsid w:val="003B58BF"/>
    <w:rsid w:val="003C35FE"/>
    <w:rsid w:val="003C71F2"/>
    <w:rsid w:val="003E0459"/>
    <w:rsid w:val="003E2FCC"/>
    <w:rsid w:val="003E68B2"/>
    <w:rsid w:val="003F0098"/>
    <w:rsid w:val="003F20F0"/>
    <w:rsid w:val="003F3273"/>
    <w:rsid w:val="00416D91"/>
    <w:rsid w:val="004172BB"/>
    <w:rsid w:val="00420F80"/>
    <w:rsid w:val="00435F1B"/>
    <w:rsid w:val="00482F24"/>
    <w:rsid w:val="0048456C"/>
    <w:rsid w:val="00496686"/>
    <w:rsid w:val="004A1675"/>
    <w:rsid w:val="004A5575"/>
    <w:rsid w:val="004A7A41"/>
    <w:rsid w:val="004B787E"/>
    <w:rsid w:val="004C1220"/>
    <w:rsid w:val="004C254D"/>
    <w:rsid w:val="004C558E"/>
    <w:rsid w:val="004C770E"/>
    <w:rsid w:val="004E3F90"/>
    <w:rsid w:val="004F0328"/>
    <w:rsid w:val="004F0E0F"/>
    <w:rsid w:val="004F2923"/>
    <w:rsid w:val="00500ACB"/>
    <w:rsid w:val="00511508"/>
    <w:rsid w:val="00513FBC"/>
    <w:rsid w:val="00527BA5"/>
    <w:rsid w:val="0053222E"/>
    <w:rsid w:val="00540BF8"/>
    <w:rsid w:val="00547F26"/>
    <w:rsid w:val="00552D8E"/>
    <w:rsid w:val="00554CF5"/>
    <w:rsid w:val="0056309F"/>
    <w:rsid w:val="005637F7"/>
    <w:rsid w:val="00585C8E"/>
    <w:rsid w:val="00587800"/>
    <w:rsid w:val="0059162A"/>
    <w:rsid w:val="00597130"/>
    <w:rsid w:val="005A069E"/>
    <w:rsid w:val="005A584A"/>
    <w:rsid w:val="005B6429"/>
    <w:rsid w:val="005B72BB"/>
    <w:rsid w:val="005C0800"/>
    <w:rsid w:val="005C5178"/>
    <w:rsid w:val="005C6EE0"/>
    <w:rsid w:val="005D1953"/>
    <w:rsid w:val="005D44AC"/>
    <w:rsid w:val="005E1478"/>
    <w:rsid w:val="005E4650"/>
    <w:rsid w:val="005E4EA2"/>
    <w:rsid w:val="005E6B19"/>
    <w:rsid w:val="00604E85"/>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100F"/>
    <w:rsid w:val="006A6E66"/>
    <w:rsid w:val="006A7DD0"/>
    <w:rsid w:val="006C6201"/>
    <w:rsid w:val="006C6665"/>
    <w:rsid w:val="006D63CE"/>
    <w:rsid w:val="007004E2"/>
    <w:rsid w:val="007126E9"/>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95D8F"/>
    <w:rsid w:val="008A2A31"/>
    <w:rsid w:val="008B4AA4"/>
    <w:rsid w:val="008F3693"/>
    <w:rsid w:val="00900395"/>
    <w:rsid w:val="00912BE2"/>
    <w:rsid w:val="009412DC"/>
    <w:rsid w:val="00946764"/>
    <w:rsid w:val="009470EE"/>
    <w:rsid w:val="00950492"/>
    <w:rsid w:val="009508DB"/>
    <w:rsid w:val="00953651"/>
    <w:rsid w:val="0097360F"/>
    <w:rsid w:val="0097794D"/>
    <w:rsid w:val="009806F4"/>
    <w:rsid w:val="0099425E"/>
    <w:rsid w:val="00994D7C"/>
    <w:rsid w:val="009973A0"/>
    <w:rsid w:val="009B059F"/>
    <w:rsid w:val="009B0931"/>
    <w:rsid w:val="009B1DAF"/>
    <w:rsid w:val="009C2B71"/>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3214"/>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E6870"/>
    <w:rsid w:val="00AF53F6"/>
    <w:rsid w:val="00B12727"/>
    <w:rsid w:val="00B33B1B"/>
    <w:rsid w:val="00B41697"/>
    <w:rsid w:val="00B42148"/>
    <w:rsid w:val="00B52F96"/>
    <w:rsid w:val="00B57830"/>
    <w:rsid w:val="00B604F8"/>
    <w:rsid w:val="00B66A8B"/>
    <w:rsid w:val="00B7440E"/>
    <w:rsid w:val="00B74A45"/>
    <w:rsid w:val="00B77BA6"/>
    <w:rsid w:val="00B803E8"/>
    <w:rsid w:val="00B82969"/>
    <w:rsid w:val="00BA345E"/>
    <w:rsid w:val="00BA3619"/>
    <w:rsid w:val="00BD2B4A"/>
    <w:rsid w:val="00BD5DC3"/>
    <w:rsid w:val="00BE5E78"/>
    <w:rsid w:val="00BF5E23"/>
    <w:rsid w:val="00C01A78"/>
    <w:rsid w:val="00C0630A"/>
    <w:rsid w:val="00C06B5E"/>
    <w:rsid w:val="00C07744"/>
    <w:rsid w:val="00C10325"/>
    <w:rsid w:val="00C17B49"/>
    <w:rsid w:val="00C4474C"/>
    <w:rsid w:val="00C46112"/>
    <w:rsid w:val="00C51228"/>
    <w:rsid w:val="00C62335"/>
    <w:rsid w:val="00C62F4A"/>
    <w:rsid w:val="00C63F9C"/>
    <w:rsid w:val="00C7113C"/>
    <w:rsid w:val="00C81B1E"/>
    <w:rsid w:val="00C927E7"/>
    <w:rsid w:val="00C96790"/>
    <w:rsid w:val="00CA68C8"/>
    <w:rsid w:val="00CC2CBF"/>
    <w:rsid w:val="00CD4925"/>
    <w:rsid w:val="00CE04E6"/>
    <w:rsid w:val="00CE7951"/>
    <w:rsid w:val="00D0770A"/>
    <w:rsid w:val="00D20D41"/>
    <w:rsid w:val="00D23F70"/>
    <w:rsid w:val="00D34B7D"/>
    <w:rsid w:val="00D375F8"/>
    <w:rsid w:val="00D43093"/>
    <w:rsid w:val="00D46008"/>
    <w:rsid w:val="00D47AA9"/>
    <w:rsid w:val="00D558AC"/>
    <w:rsid w:val="00D67DBB"/>
    <w:rsid w:val="00D77EC5"/>
    <w:rsid w:val="00D84846"/>
    <w:rsid w:val="00D9379A"/>
    <w:rsid w:val="00DA1EAA"/>
    <w:rsid w:val="00DD08EC"/>
    <w:rsid w:val="00DD335F"/>
    <w:rsid w:val="00DE4D9F"/>
    <w:rsid w:val="00DE6EE9"/>
    <w:rsid w:val="00DF0DD8"/>
    <w:rsid w:val="00DF1495"/>
    <w:rsid w:val="00E00707"/>
    <w:rsid w:val="00E0448B"/>
    <w:rsid w:val="00E07A45"/>
    <w:rsid w:val="00E1125C"/>
    <w:rsid w:val="00E310A1"/>
    <w:rsid w:val="00E40FED"/>
    <w:rsid w:val="00E67A71"/>
    <w:rsid w:val="00E7538C"/>
    <w:rsid w:val="00E92AE9"/>
    <w:rsid w:val="00E94834"/>
    <w:rsid w:val="00E964DB"/>
    <w:rsid w:val="00EA41DB"/>
    <w:rsid w:val="00EB2D7D"/>
    <w:rsid w:val="00EB56C7"/>
    <w:rsid w:val="00EE6C8B"/>
    <w:rsid w:val="00EF01F0"/>
    <w:rsid w:val="00EF63E1"/>
    <w:rsid w:val="00EF6752"/>
    <w:rsid w:val="00F00114"/>
    <w:rsid w:val="00F07FD1"/>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0DD8"/>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legis.iowa.gov/docs/ico/code/257.8.pdf" TargetMode="External"/><Relationship Id="rId9" Type="http://schemas.openxmlformats.org/officeDocument/2006/relationships/chart" Target="charts/chart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go\Desktop\Education%20Coalition\Allowable%20GROWTH%20History.xls" TargetMode="External"/><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Iowa State Cost Per Student</a:t>
            </a:r>
            <a:r>
              <a:rPr lang="en-US" sz="1200" baseline="0"/>
              <a:t> Funding </a:t>
            </a:r>
            <a:r>
              <a:rPr lang="en-US" sz="1200"/>
              <a:t>History</a:t>
            </a:r>
          </a:p>
        </c:rich>
      </c:tx>
      <c:layout>
        <c:manualLayout>
          <c:xMode val="edge"/>
          <c:yMode val="edge"/>
          <c:x val="0.223312082541407"/>
          <c:y val="0.0363688146331805"/>
        </c:manualLayout>
      </c:layout>
      <c:overlay val="0"/>
    </c:title>
    <c:autoTitleDeleted val="0"/>
    <c:plotArea>
      <c:layout/>
      <c:lineChart>
        <c:grouping val="standard"/>
        <c:varyColors val="0"/>
        <c:ser>
          <c:idx val="0"/>
          <c:order val="0"/>
          <c:trendline>
            <c:trendlineType val="linear"/>
            <c:dispRSqr val="0"/>
            <c:dispEq val="0"/>
          </c:trendline>
          <c:cat>
            <c:strRef>
              <c:f>Sheet1!$A$3:$A$47</c:f>
              <c:strCache>
                <c:ptCount val="45"/>
                <c:pt idx="0">
                  <c:v>72/73</c:v>
                </c:pt>
                <c:pt idx="1">
                  <c:v>73/74</c:v>
                </c:pt>
                <c:pt idx="2">
                  <c:v>74/75</c:v>
                </c:pt>
                <c:pt idx="3">
                  <c:v>75/76</c:v>
                </c:pt>
                <c:pt idx="4">
                  <c:v>76/77</c:v>
                </c:pt>
                <c:pt idx="5">
                  <c:v>77/78</c:v>
                </c:pt>
                <c:pt idx="6">
                  <c:v>78/79</c:v>
                </c:pt>
                <c:pt idx="7">
                  <c:v>79/80</c:v>
                </c:pt>
                <c:pt idx="8">
                  <c:v>80/81</c:v>
                </c:pt>
                <c:pt idx="9">
                  <c:v>81/82</c:v>
                </c:pt>
                <c:pt idx="10">
                  <c:v>82/83</c:v>
                </c:pt>
                <c:pt idx="11">
                  <c:v>83/84</c:v>
                </c:pt>
                <c:pt idx="12">
                  <c:v>84/85</c:v>
                </c:pt>
                <c:pt idx="13">
                  <c:v>85/86</c:v>
                </c:pt>
                <c:pt idx="14">
                  <c:v>86/87</c:v>
                </c:pt>
                <c:pt idx="15">
                  <c:v>87/88</c:v>
                </c:pt>
                <c:pt idx="16">
                  <c:v>88/89</c:v>
                </c:pt>
                <c:pt idx="17">
                  <c:v>89/90</c:v>
                </c:pt>
                <c:pt idx="18">
                  <c:v>90/91</c:v>
                </c:pt>
                <c:pt idx="19">
                  <c:v>91/92</c:v>
                </c:pt>
                <c:pt idx="20">
                  <c:v>92/93</c:v>
                </c:pt>
                <c:pt idx="21">
                  <c:v>93/94</c:v>
                </c:pt>
                <c:pt idx="22">
                  <c:v>94/95</c:v>
                </c:pt>
                <c:pt idx="23">
                  <c:v>95/96</c:v>
                </c:pt>
                <c:pt idx="24">
                  <c:v>96/97</c:v>
                </c:pt>
                <c:pt idx="25">
                  <c:v>97/98</c:v>
                </c:pt>
                <c:pt idx="26">
                  <c:v>98/99</c:v>
                </c:pt>
                <c:pt idx="27">
                  <c:v>99/00</c:v>
                </c:pt>
                <c:pt idx="28">
                  <c:v>00/01</c:v>
                </c:pt>
                <c:pt idx="29">
                  <c:v>01/02</c:v>
                </c:pt>
                <c:pt idx="30">
                  <c:v>02/03</c:v>
                </c:pt>
                <c:pt idx="31">
                  <c:v>03/04</c:v>
                </c:pt>
                <c:pt idx="32">
                  <c:v>04/05</c:v>
                </c:pt>
                <c:pt idx="33">
                  <c:v>05/06</c:v>
                </c:pt>
                <c:pt idx="34">
                  <c:v>06/07</c:v>
                </c:pt>
                <c:pt idx="35">
                  <c:v>07/08</c:v>
                </c:pt>
                <c:pt idx="36">
                  <c:v>08/09</c:v>
                </c:pt>
                <c:pt idx="37">
                  <c:v>09/10</c:v>
                </c:pt>
                <c:pt idx="38">
                  <c:v>10/11</c:v>
                </c:pt>
                <c:pt idx="39">
                  <c:v>11/12</c:v>
                </c:pt>
                <c:pt idx="40">
                  <c:v>12/13</c:v>
                </c:pt>
                <c:pt idx="41">
                  <c:v>13/14</c:v>
                </c:pt>
                <c:pt idx="42">
                  <c:v>14/15</c:v>
                </c:pt>
                <c:pt idx="43">
                  <c:v>15/16</c:v>
                </c:pt>
                <c:pt idx="44">
                  <c:v>16/17</c:v>
                </c:pt>
              </c:strCache>
            </c:strRef>
          </c:cat>
          <c:val>
            <c:numRef>
              <c:f>Sheet1!$B$3:$B$47</c:f>
              <c:numCache>
                <c:formatCode>.00000</c:formatCode>
                <c:ptCount val="45"/>
                <c:pt idx="0">
                  <c:v>0.04928</c:v>
                </c:pt>
                <c:pt idx="1">
                  <c:v>0.05</c:v>
                </c:pt>
                <c:pt idx="2">
                  <c:v>0.08</c:v>
                </c:pt>
                <c:pt idx="3">
                  <c:v>0.107</c:v>
                </c:pt>
                <c:pt idx="4">
                  <c:v>0.09825</c:v>
                </c:pt>
                <c:pt idx="5">
                  <c:v>0.0784</c:v>
                </c:pt>
                <c:pt idx="6">
                  <c:v>0.09422</c:v>
                </c:pt>
                <c:pt idx="7">
                  <c:v>0.09484</c:v>
                </c:pt>
                <c:pt idx="8">
                  <c:v>0.13592</c:v>
                </c:pt>
                <c:pt idx="9">
                  <c:v>0.05</c:v>
                </c:pt>
                <c:pt idx="10">
                  <c:v>0.07</c:v>
                </c:pt>
                <c:pt idx="11">
                  <c:v>0.06103</c:v>
                </c:pt>
                <c:pt idx="12">
                  <c:v>0.0254</c:v>
                </c:pt>
                <c:pt idx="13">
                  <c:v>0.05325</c:v>
                </c:pt>
                <c:pt idx="14">
                  <c:v>0.03843</c:v>
                </c:pt>
                <c:pt idx="15">
                  <c:v>0.03469</c:v>
                </c:pt>
                <c:pt idx="16">
                  <c:v>0.03592</c:v>
                </c:pt>
                <c:pt idx="17">
                  <c:v>0.03534</c:v>
                </c:pt>
                <c:pt idx="18">
                  <c:v>0.07182</c:v>
                </c:pt>
                <c:pt idx="19">
                  <c:v>0.04211</c:v>
                </c:pt>
                <c:pt idx="20">
                  <c:v>0.04151</c:v>
                </c:pt>
                <c:pt idx="21">
                  <c:v>0.021</c:v>
                </c:pt>
                <c:pt idx="22">
                  <c:v>0.0285</c:v>
                </c:pt>
                <c:pt idx="23">
                  <c:v>0.035</c:v>
                </c:pt>
                <c:pt idx="24">
                  <c:v>0.033</c:v>
                </c:pt>
                <c:pt idx="25">
                  <c:v>0.035</c:v>
                </c:pt>
                <c:pt idx="26">
                  <c:v>0.035</c:v>
                </c:pt>
                <c:pt idx="27">
                  <c:v>0.03</c:v>
                </c:pt>
                <c:pt idx="28">
                  <c:v>0.04</c:v>
                </c:pt>
                <c:pt idx="29">
                  <c:v>0.04</c:v>
                </c:pt>
                <c:pt idx="30">
                  <c:v>0.01</c:v>
                </c:pt>
                <c:pt idx="31">
                  <c:v>0.02</c:v>
                </c:pt>
                <c:pt idx="32">
                  <c:v>0.02</c:v>
                </c:pt>
                <c:pt idx="33">
                  <c:v>0.04</c:v>
                </c:pt>
                <c:pt idx="34">
                  <c:v>0.04</c:v>
                </c:pt>
                <c:pt idx="35">
                  <c:v>0.04</c:v>
                </c:pt>
                <c:pt idx="36">
                  <c:v>0.04</c:v>
                </c:pt>
                <c:pt idx="37">
                  <c:v>0.04</c:v>
                </c:pt>
                <c:pt idx="38">
                  <c:v>0.02</c:v>
                </c:pt>
                <c:pt idx="39">
                  <c:v>0.0</c:v>
                </c:pt>
                <c:pt idx="40">
                  <c:v>0.02</c:v>
                </c:pt>
                <c:pt idx="41">
                  <c:v>0.02</c:v>
                </c:pt>
                <c:pt idx="42">
                  <c:v>0.04</c:v>
                </c:pt>
                <c:pt idx="43">
                  <c:v>0.0125</c:v>
                </c:pt>
                <c:pt idx="44">
                  <c:v>0.0225</c:v>
                </c:pt>
              </c:numCache>
            </c:numRef>
          </c:val>
          <c:smooth val="0"/>
          <c:extLst xmlns:c16r2="http://schemas.microsoft.com/office/drawing/2015/06/chart">
            <c:ext xmlns:c16="http://schemas.microsoft.com/office/drawing/2014/chart" uri="{C3380CC4-5D6E-409C-BE32-E72D297353CC}">
              <c16:uniqueId val="{00000000-55C7-4C2E-8EB7-3E1D73A95462}"/>
            </c:ext>
          </c:extLst>
        </c:ser>
        <c:dLbls>
          <c:showLegendKey val="0"/>
          <c:showVal val="0"/>
          <c:showCatName val="0"/>
          <c:showSerName val="0"/>
          <c:showPercent val="0"/>
          <c:showBubbleSize val="0"/>
        </c:dLbls>
        <c:marker val="1"/>
        <c:smooth val="0"/>
        <c:axId val="1857841600"/>
        <c:axId val="-2072977856"/>
      </c:lineChart>
      <c:catAx>
        <c:axId val="1857841600"/>
        <c:scaling>
          <c:orientation val="minMax"/>
        </c:scaling>
        <c:delete val="0"/>
        <c:axPos val="b"/>
        <c:numFmt formatCode="General" sourceLinked="1"/>
        <c:majorTickMark val="none"/>
        <c:minorTickMark val="none"/>
        <c:tickLblPos val="nextTo"/>
        <c:crossAx val="-2072977856"/>
        <c:crosses val="autoZero"/>
        <c:auto val="1"/>
        <c:lblAlgn val="ctr"/>
        <c:lblOffset val="100"/>
        <c:noMultiLvlLbl val="0"/>
      </c:catAx>
      <c:valAx>
        <c:axId val="-2072977856"/>
        <c:scaling>
          <c:orientation val="minMax"/>
        </c:scaling>
        <c:delete val="0"/>
        <c:axPos val="l"/>
        <c:majorGridlines/>
        <c:title>
          <c:tx>
            <c:rich>
              <a:bodyPr/>
              <a:lstStyle/>
              <a:p>
                <a:pPr>
                  <a:defRPr sz="900"/>
                </a:pPr>
                <a:r>
                  <a:rPr lang="en-US" sz="900"/>
                  <a:t>Percent Increase in State Cost Per Pupil </a:t>
                </a:r>
              </a:p>
            </c:rich>
          </c:tx>
          <c:overlay val="0"/>
        </c:title>
        <c:numFmt formatCode="0%" sourceLinked="0"/>
        <c:majorTickMark val="none"/>
        <c:minorTickMark val="none"/>
        <c:tickLblPos val="nextTo"/>
        <c:crossAx val="1857841600"/>
        <c:crosses val="autoZero"/>
        <c:crossBetween val="between"/>
      </c:valAx>
      <c:spPr>
        <a:solidFill>
          <a:srgbClr val="FFFF99"/>
        </a:solidFill>
      </c:spPr>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0.53179</cdr:x>
      <cdr:y>0.1554</cdr:y>
    </cdr:from>
    <cdr:to>
      <cdr:x>0.53494</cdr:x>
      <cdr:y>0.86503</cdr:y>
    </cdr:to>
    <cdr:cxnSp macro="">
      <cdr:nvCxnSpPr>
        <cdr:cNvPr id="3" name="Straight Connector 2"/>
        <cdr:cNvCxnSpPr/>
      </cdr:nvCxnSpPr>
      <cdr:spPr>
        <a:xfrm xmlns:a="http://schemas.openxmlformats.org/drawingml/2006/main">
          <a:off x="3219451" y="528638"/>
          <a:ext cx="19050" cy="28956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cdr:x>
      <cdr:y>0.14907</cdr:y>
    </cdr:from>
    <cdr:to>
      <cdr:x>0.51027</cdr:x>
      <cdr:y>0.25919</cdr:y>
    </cdr:to>
    <cdr:sp macro="" textlink="">
      <cdr:nvSpPr>
        <cdr:cNvPr id="4" name="TextBox 3"/>
        <cdr:cNvSpPr txBox="1"/>
      </cdr:nvSpPr>
      <cdr:spPr>
        <a:xfrm xmlns:a="http://schemas.openxmlformats.org/drawingml/2006/main">
          <a:off x="736601" y="489389"/>
          <a:ext cx="1612556" cy="361511"/>
        </a:xfrm>
        <a:prstGeom xmlns:a="http://schemas.openxmlformats.org/drawingml/2006/main" prst="rect">
          <a:avLst/>
        </a:prstGeom>
        <a:solidFill xmlns:a="http://schemas.openxmlformats.org/drawingml/2006/main">
          <a:schemeClr val="bg1">
            <a:lumMod val="85000"/>
          </a:schemeClr>
        </a:solidFill>
      </cdr:spPr>
      <cdr:txBody>
        <a:bodyPr xmlns:a="http://schemas.openxmlformats.org/drawingml/2006/main" vertOverflow="clip" wrap="square" rtlCol="0"/>
        <a:lstStyle xmlns:a="http://schemas.openxmlformats.org/drawingml/2006/main"/>
        <a:p xmlns:a="http://schemas.openxmlformats.org/drawingml/2006/main">
          <a:pPr algn="ctr"/>
          <a:r>
            <a:rPr lang="en-US" sz="800"/>
            <a:t>Calculated by formula</a:t>
          </a:r>
          <a:r>
            <a:rPr lang="en-US" sz="800" baseline="0"/>
            <a:t> considering inflation and economic factors.</a:t>
          </a:r>
          <a:endParaRPr lang="en-US" sz="800"/>
        </a:p>
      </cdr:txBody>
    </cdr:sp>
  </cdr:relSizeAnchor>
  <cdr:relSizeAnchor xmlns:cdr="http://schemas.openxmlformats.org/drawingml/2006/chartDrawing">
    <cdr:from>
      <cdr:x>0.54483</cdr:x>
      <cdr:y>0.15211</cdr:y>
    </cdr:from>
    <cdr:to>
      <cdr:x>0.96828</cdr:x>
      <cdr:y>0.26306</cdr:y>
    </cdr:to>
    <cdr:sp macro="" textlink="">
      <cdr:nvSpPr>
        <cdr:cNvPr id="6" name="TextBox 1"/>
        <cdr:cNvSpPr txBox="1"/>
      </cdr:nvSpPr>
      <cdr:spPr>
        <a:xfrm xmlns:a="http://schemas.openxmlformats.org/drawingml/2006/main">
          <a:off x="2508250" y="499372"/>
          <a:ext cx="1949450" cy="364228"/>
        </a:xfrm>
        <a:prstGeom xmlns:a="http://schemas.openxmlformats.org/drawingml/2006/main" prst="rect">
          <a:avLst/>
        </a:prstGeom>
        <a:solidFill xmlns:a="http://schemas.openxmlformats.org/drawingml/2006/main">
          <a:schemeClr val="bg1">
            <a:lumMod val="8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800"/>
            <a:t>Legislatively set and required to be one year in advance of the budget year.</a:t>
          </a:r>
        </a:p>
      </cdr:txBody>
    </cdr:sp>
  </cdr:relSizeAnchor>
  <cdr:relSizeAnchor xmlns:cdr="http://schemas.openxmlformats.org/drawingml/2006/chartDrawing">
    <cdr:from>
      <cdr:x>0.57083</cdr:x>
      <cdr:y>0.67933</cdr:y>
    </cdr:from>
    <cdr:to>
      <cdr:x>0.96747</cdr:x>
      <cdr:y>0.72428</cdr:y>
    </cdr:to>
    <cdr:sp macro="" textlink="">
      <cdr:nvSpPr>
        <cdr:cNvPr id="2" name="TextBox 1"/>
        <cdr:cNvSpPr txBox="1"/>
      </cdr:nvSpPr>
      <cdr:spPr>
        <a:xfrm xmlns:a="http://schemas.openxmlformats.org/drawingml/2006/main">
          <a:off x="3454419" y="2838450"/>
          <a:ext cx="2400281" cy="187795"/>
        </a:xfrm>
        <a:prstGeom xmlns:a="http://schemas.openxmlformats.org/drawingml/2006/main" prst="rect">
          <a:avLst/>
        </a:prstGeom>
        <a:solidFill xmlns:a="http://schemas.openxmlformats.org/drawingml/2006/main">
          <a:srgbClr val="FF0000">
            <a:alpha val="16000"/>
          </a:srgbClr>
        </a:solidFill>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0.66227</cdr:x>
      <cdr:y>0.33034</cdr:y>
    </cdr:from>
    <cdr:to>
      <cdr:x>0.95172</cdr:x>
      <cdr:y>0.63378</cdr:y>
    </cdr:to>
    <cdr:sp macro="" textlink="">
      <cdr:nvSpPr>
        <cdr:cNvPr id="5" name="TextBox 4"/>
        <cdr:cNvSpPr txBox="1"/>
      </cdr:nvSpPr>
      <cdr:spPr>
        <a:xfrm xmlns:a="http://schemas.openxmlformats.org/drawingml/2006/main">
          <a:off x="3048926" y="1084490"/>
          <a:ext cx="1332555" cy="996193"/>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US" sz="800"/>
            <a:t>Historical annual cost increase</a:t>
          </a:r>
          <a:r>
            <a:rPr lang="en-US" sz="800" baseline="0"/>
            <a:t> of doing school is 3.5-4.0% (orange band below): SSA set in 6 of the 7 last years lags the real cost increase schools have seen.</a:t>
          </a:r>
          <a:endParaRPr lang="en-US"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B54C7-8F84-9C45-A513-5D5E9C25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519</Words>
  <Characters>3213</Characters>
  <Application>Microsoft Macintosh Word</Application>
  <DocSecurity>0</DocSecurity>
  <Lines>401</Lines>
  <Paragraphs>339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James Passick</cp:lastModifiedBy>
  <cp:revision>6</cp:revision>
  <cp:lastPrinted>2014-07-07T14:16:00Z</cp:lastPrinted>
  <dcterms:created xsi:type="dcterms:W3CDTF">2016-08-01T16:47:00Z</dcterms:created>
  <dcterms:modified xsi:type="dcterms:W3CDTF">2016-10-14T18:50:00Z</dcterms:modified>
</cp:coreProperties>
</file>