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4D1" w:rsidRPr="004C5F7C" w:rsidRDefault="00BC5BAA" w:rsidP="004C5F7C">
      <w:pPr>
        <w:shd w:val="clear" w:color="auto" w:fill="FFFFFF"/>
        <w:spacing w:after="0" w:line="240" w:lineRule="auto"/>
        <w:ind w:left="630" w:hanging="720"/>
        <w:outlineLvl w:val="1"/>
        <w:rPr>
          <w:rFonts w:asciiTheme="majorHAnsi" w:eastAsia="Times New Roman" w:hAnsiTheme="majorHAnsi" w:cstheme="majorHAnsi"/>
          <w:b/>
          <w:bCs/>
          <w:i/>
          <w:color w:val="212121"/>
        </w:rPr>
      </w:pPr>
      <w:bookmarkStart w:id="0" w:name="_GoBack"/>
      <w:bookmarkEnd w:id="0"/>
      <w:r>
        <w:rPr>
          <w:noProof/>
        </w:rPr>
        <w:drawing>
          <wp:inline distT="0" distB="0" distL="0" distR="0">
            <wp:extent cx="422563" cy="422563"/>
            <wp:effectExtent l="0" t="0" r="0" b="0"/>
            <wp:docPr id="2" name="Picture 2" descr="https://www.epa.gov/sites/production/files/2013-06/epa_seal_verysmall_tr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pa.gov/sites/production/files/2013-06/epa_seal_verysmall_tri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50" cy="425850"/>
                    </a:xfrm>
                    <a:prstGeom prst="rect">
                      <a:avLst/>
                    </a:prstGeom>
                    <a:noFill/>
                    <a:ln>
                      <a:noFill/>
                    </a:ln>
                  </pic:spPr>
                </pic:pic>
              </a:graphicData>
            </a:graphic>
          </wp:inline>
        </w:drawing>
      </w:r>
      <w:r w:rsidR="00CD44D1">
        <w:rPr>
          <w:rFonts w:asciiTheme="majorHAnsi" w:eastAsia="Times New Roman" w:hAnsiTheme="majorHAnsi" w:cstheme="majorHAnsi"/>
          <w:b/>
          <w:bCs/>
          <w:i/>
          <w:color w:val="212121"/>
        </w:rPr>
        <w:t xml:space="preserve">   </w:t>
      </w:r>
      <w:r w:rsidR="007F7523" w:rsidRPr="007F7523">
        <w:rPr>
          <w:rFonts w:asciiTheme="majorHAnsi" w:eastAsia="Times New Roman" w:hAnsiTheme="majorHAnsi" w:cstheme="majorHAnsi"/>
          <w:b/>
          <w:bCs/>
          <w:i/>
          <w:color w:val="212121"/>
        </w:rPr>
        <w:t xml:space="preserve">This article is </w:t>
      </w:r>
      <w:r w:rsidR="00CD44D1">
        <w:rPr>
          <w:rFonts w:asciiTheme="majorHAnsi" w:eastAsia="Times New Roman" w:hAnsiTheme="majorHAnsi" w:cstheme="majorHAnsi"/>
          <w:b/>
          <w:bCs/>
          <w:i/>
          <w:color w:val="212121"/>
        </w:rPr>
        <w:t>P</w:t>
      </w:r>
      <w:r w:rsidR="007F7523" w:rsidRPr="007F7523">
        <w:rPr>
          <w:rFonts w:asciiTheme="majorHAnsi" w:eastAsia="Times New Roman" w:hAnsiTheme="majorHAnsi" w:cstheme="majorHAnsi"/>
          <w:b/>
          <w:bCs/>
          <w:i/>
          <w:color w:val="212121"/>
        </w:rPr>
        <w:t xml:space="preserve">art 1 in a series of articles outlining the requirements under </w:t>
      </w:r>
      <w:r w:rsidR="00CD44D1">
        <w:rPr>
          <w:rFonts w:asciiTheme="majorHAnsi" w:eastAsia="Times New Roman" w:hAnsiTheme="majorHAnsi" w:cstheme="majorHAnsi"/>
          <w:b/>
          <w:bCs/>
          <w:i/>
          <w:color w:val="212121"/>
        </w:rPr>
        <w:t xml:space="preserve">the 2018 </w:t>
      </w:r>
      <w:r w:rsidR="007F7523" w:rsidRPr="007F7523">
        <w:rPr>
          <w:rFonts w:asciiTheme="majorHAnsi" w:eastAsia="Times New Roman" w:hAnsiTheme="majorHAnsi" w:cstheme="majorHAnsi"/>
          <w:b/>
          <w:bCs/>
          <w:i/>
          <w:color w:val="212121"/>
        </w:rPr>
        <w:t>America’s Water Infrastructure Act.</w:t>
      </w:r>
    </w:p>
    <w:p w:rsidR="004C5F7C" w:rsidRDefault="004C5F7C" w:rsidP="00BC5BAA">
      <w:pPr>
        <w:shd w:val="clear" w:color="auto" w:fill="FFFFFF"/>
        <w:spacing w:after="0" w:line="240" w:lineRule="auto"/>
        <w:rPr>
          <w:rFonts w:asciiTheme="majorHAnsi" w:eastAsia="Times New Roman" w:hAnsiTheme="majorHAnsi" w:cstheme="majorHAnsi"/>
          <w:b/>
          <w:color w:val="212121"/>
        </w:rPr>
      </w:pPr>
    </w:p>
    <w:p w:rsidR="004C5F7C" w:rsidRDefault="004C5F7C" w:rsidP="00BC5BAA">
      <w:pPr>
        <w:shd w:val="clear" w:color="auto" w:fill="FFFFFF"/>
        <w:spacing w:after="0" w:line="240" w:lineRule="auto"/>
        <w:rPr>
          <w:rFonts w:asciiTheme="majorHAnsi" w:eastAsia="Times New Roman" w:hAnsiTheme="majorHAnsi" w:cstheme="majorHAnsi"/>
          <w:color w:val="212121"/>
        </w:rPr>
      </w:pPr>
      <w:r w:rsidRPr="004C5F7C">
        <w:rPr>
          <w:rFonts w:asciiTheme="majorHAnsi" w:eastAsia="Times New Roman" w:hAnsiTheme="majorHAnsi" w:cstheme="majorHAnsi"/>
          <w:b/>
          <w:color w:val="212121"/>
        </w:rPr>
        <w:t>Risk</w:t>
      </w:r>
      <w:r>
        <w:rPr>
          <w:rFonts w:asciiTheme="majorHAnsi" w:eastAsia="Times New Roman" w:hAnsiTheme="majorHAnsi" w:cstheme="majorHAnsi"/>
          <w:color w:val="212121"/>
        </w:rPr>
        <w:t xml:space="preserve"> </w:t>
      </w:r>
      <w:r w:rsidRPr="00BC5BAA">
        <w:rPr>
          <w:rFonts w:asciiTheme="majorHAnsi" w:eastAsia="Times New Roman" w:hAnsiTheme="majorHAnsi" w:cstheme="majorHAnsi"/>
          <w:b/>
          <w:bCs/>
          <w:color w:val="212121"/>
        </w:rPr>
        <w:t>and Resilience Assessment Requirements and Assistance Resources</w:t>
      </w:r>
    </w:p>
    <w:p w:rsidR="004C5F7C" w:rsidRDefault="004C5F7C" w:rsidP="00BC5BAA">
      <w:pPr>
        <w:shd w:val="clear" w:color="auto" w:fill="FFFFFF"/>
        <w:spacing w:after="0" w:line="240" w:lineRule="auto"/>
        <w:rPr>
          <w:rFonts w:asciiTheme="majorHAnsi" w:eastAsia="Times New Roman" w:hAnsiTheme="majorHAnsi" w:cstheme="majorHAnsi"/>
          <w:color w:val="212121"/>
        </w:rPr>
      </w:pPr>
    </w:p>
    <w:p w:rsidR="00BC5BAA" w:rsidRPr="00BC5BAA" w:rsidRDefault="00BC5BAA" w:rsidP="00BC5BAA">
      <w:pPr>
        <w:shd w:val="clear" w:color="auto" w:fill="FFFFFF"/>
        <w:spacing w:after="0" w:line="240" w:lineRule="auto"/>
        <w:rPr>
          <w:rFonts w:asciiTheme="majorHAnsi" w:eastAsia="Times New Roman" w:hAnsiTheme="majorHAnsi" w:cstheme="majorHAnsi"/>
          <w:color w:val="212121"/>
        </w:rPr>
      </w:pPr>
      <w:r w:rsidRPr="00BC5BAA">
        <w:rPr>
          <w:rFonts w:asciiTheme="majorHAnsi" w:eastAsia="Times New Roman" w:hAnsiTheme="majorHAnsi" w:cstheme="majorHAnsi"/>
          <w:color w:val="212121"/>
        </w:rPr>
        <w:t>Each community water system serving a population of greater than 3,300 persons shall assess the risks to, and resilience of, its system. Such an assessment shall include:</w:t>
      </w:r>
    </w:p>
    <w:p w:rsidR="00BC5BAA" w:rsidRPr="0068283B" w:rsidRDefault="00BC5BAA" w:rsidP="0068283B">
      <w:pPr>
        <w:pStyle w:val="ListParagraph"/>
        <w:numPr>
          <w:ilvl w:val="0"/>
          <w:numId w:val="1"/>
        </w:numPr>
        <w:shd w:val="clear" w:color="auto" w:fill="FFFFFF"/>
        <w:tabs>
          <w:tab w:val="clear" w:pos="2520"/>
        </w:tabs>
        <w:spacing w:before="100" w:beforeAutospacing="1" w:after="100" w:afterAutospacing="1" w:line="240" w:lineRule="auto"/>
        <w:ind w:left="900"/>
        <w:rPr>
          <w:rFonts w:asciiTheme="majorHAnsi" w:eastAsia="Times New Roman" w:hAnsiTheme="majorHAnsi" w:cstheme="majorHAnsi"/>
          <w:color w:val="212121"/>
        </w:rPr>
      </w:pPr>
      <w:r w:rsidRPr="0068283B">
        <w:rPr>
          <w:rFonts w:asciiTheme="majorHAnsi" w:eastAsia="Times New Roman" w:hAnsiTheme="majorHAnsi" w:cstheme="majorHAnsi"/>
          <w:color w:val="212121"/>
        </w:rPr>
        <w:t>the risk to the system from malevolent acts and natural hazards;</w:t>
      </w:r>
    </w:p>
    <w:p w:rsidR="00BC5BAA" w:rsidRPr="00BC5BAA" w:rsidRDefault="00BC5BAA" w:rsidP="0068283B">
      <w:pPr>
        <w:numPr>
          <w:ilvl w:val="0"/>
          <w:numId w:val="1"/>
        </w:numPr>
        <w:shd w:val="clear" w:color="auto" w:fill="FFFFFF"/>
        <w:spacing w:before="100" w:beforeAutospacing="1" w:after="100" w:afterAutospacing="1" w:line="240" w:lineRule="auto"/>
        <w:ind w:left="900"/>
        <w:rPr>
          <w:rFonts w:asciiTheme="majorHAnsi" w:eastAsia="Times New Roman" w:hAnsiTheme="majorHAnsi" w:cstheme="majorHAnsi"/>
          <w:color w:val="212121"/>
        </w:rPr>
      </w:pPr>
      <w:r w:rsidRPr="00BC5BAA">
        <w:rPr>
          <w:rFonts w:asciiTheme="majorHAnsi" w:eastAsia="Times New Roman" w:hAnsiTheme="majorHAnsi" w:cstheme="majorHAnsi"/>
          <w:color w:val="212121"/>
        </w:rPr>
        <w:t>the resilience of the pipes and constructed conveyances, physical barriers, source water, water collection and intake, pretreatment, treatment, storage and distribution facilities, electronic, computer, or other automated systems (including the security of such systems) which are utilized by the system;</w:t>
      </w:r>
    </w:p>
    <w:p w:rsidR="00BC5BAA" w:rsidRPr="00BC5BAA" w:rsidRDefault="00BC5BAA" w:rsidP="0068283B">
      <w:pPr>
        <w:numPr>
          <w:ilvl w:val="0"/>
          <w:numId w:val="1"/>
        </w:numPr>
        <w:shd w:val="clear" w:color="auto" w:fill="FFFFFF"/>
        <w:spacing w:before="100" w:beforeAutospacing="1" w:after="100" w:afterAutospacing="1" w:line="240" w:lineRule="auto"/>
        <w:ind w:left="900"/>
        <w:rPr>
          <w:rFonts w:asciiTheme="majorHAnsi" w:eastAsia="Times New Roman" w:hAnsiTheme="majorHAnsi" w:cstheme="majorHAnsi"/>
          <w:color w:val="212121"/>
        </w:rPr>
      </w:pPr>
      <w:r w:rsidRPr="00BC5BAA">
        <w:rPr>
          <w:rFonts w:asciiTheme="majorHAnsi" w:eastAsia="Times New Roman" w:hAnsiTheme="majorHAnsi" w:cstheme="majorHAnsi"/>
          <w:color w:val="212121"/>
        </w:rPr>
        <w:t>the monitoring practices of the system;</w:t>
      </w:r>
    </w:p>
    <w:p w:rsidR="00BC5BAA" w:rsidRPr="00BC5BAA" w:rsidRDefault="00BC5BAA" w:rsidP="0068283B">
      <w:pPr>
        <w:numPr>
          <w:ilvl w:val="0"/>
          <w:numId w:val="1"/>
        </w:numPr>
        <w:shd w:val="clear" w:color="auto" w:fill="FFFFFF"/>
        <w:spacing w:before="100" w:beforeAutospacing="1" w:after="100" w:afterAutospacing="1" w:line="240" w:lineRule="auto"/>
        <w:ind w:left="900"/>
        <w:rPr>
          <w:rFonts w:asciiTheme="majorHAnsi" w:eastAsia="Times New Roman" w:hAnsiTheme="majorHAnsi" w:cstheme="majorHAnsi"/>
          <w:color w:val="212121"/>
        </w:rPr>
      </w:pPr>
      <w:r w:rsidRPr="00BC5BAA">
        <w:rPr>
          <w:rFonts w:asciiTheme="majorHAnsi" w:eastAsia="Times New Roman" w:hAnsiTheme="majorHAnsi" w:cstheme="majorHAnsi"/>
          <w:color w:val="212121"/>
        </w:rPr>
        <w:t xml:space="preserve">the financial </w:t>
      </w:r>
      <w:r w:rsidR="0068283B">
        <w:rPr>
          <w:rFonts w:asciiTheme="majorHAnsi" w:eastAsia="Times New Roman" w:hAnsiTheme="majorHAnsi" w:cstheme="majorHAnsi"/>
          <w:color w:val="212121"/>
        </w:rPr>
        <w:t>(e</w:t>
      </w:r>
      <w:r w:rsidR="00B14D2E">
        <w:rPr>
          <w:rFonts w:asciiTheme="majorHAnsi" w:eastAsia="Times New Roman" w:hAnsiTheme="majorHAnsi" w:cstheme="majorHAnsi"/>
          <w:color w:val="212121"/>
        </w:rPr>
        <w:t>.</w:t>
      </w:r>
      <w:r w:rsidR="0068283B">
        <w:rPr>
          <w:rFonts w:asciiTheme="majorHAnsi" w:eastAsia="Times New Roman" w:hAnsiTheme="majorHAnsi" w:cstheme="majorHAnsi"/>
          <w:color w:val="212121"/>
        </w:rPr>
        <w:t xml:space="preserve">g. billing) </w:t>
      </w:r>
      <w:r w:rsidRPr="00BC5BAA">
        <w:rPr>
          <w:rFonts w:asciiTheme="majorHAnsi" w:eastAsia="Times New Roman" w:hAnsiTheme="majorHAnsi" w:cstheme="majorHAnsi"/>
          <w:color w:val="212121"/>
        </w:rPr>
        <w:t>infrastructure of the system;</w:t>
      </w:r>
    </w:p>
    <w:p w:rsidR="00BC5BAA" w:rsidRPr="00BC5BAA" w:rsidRDefault="00BC5BAA" w:rsidP="0068283B">
      <w:pPr>
        <w:numPr>
          <w:ilvl w:val="0"/>
          <w:numId w:val="1"/>
        </w:numPr>
        <w:shd w:val="clear" w:color="auto" w:fill="FFFFFF"/>
        <w:spacing w:before="100" w:beforeAutospacing="1" w:after="100" w:afterAutospacing="1" w:line="240" w:lineRule="auto"/>
        <w:ind w:left="900"/>
        <w:rPr>
          <w:rFonts w:asciiTheme="majorHAnsi" w:eastAsia="Times New Roman" w:hAnsiTheme="majorHAnsi" w:cstheme="majorHAnsi"/>
          <w:color w:val="212121"/>
        </w:rPr>
      </w:pPr>
      <w:r w:rsidRPr="00BC5BAA">
        <w:rPr>
          <w:rFonts w:asciiTheme="majorHAnsi" w:eastAsia="Times New Roman" w:hAnsiTheme="majorHAnsi" w:cstheme="majorHAnsi"/>
          <w:color w:val="212121"/>
        </w:rPr>
        <w:t>the use, storage, or handling of various chemicals by the system; and</w:t>
      </w:r>
    </w:p>
    <w:p w:rsidR="00BC5BAA" w:rsidRPr="00BC5BAA" w:rsidRDefault="00BC5BAA" w:rsidP="0068283B">
      <w:pPr>
        <w:numPr>
          <w:ilvl w:val="0"/>
          <w:numId w:val="1"/>
        </w:numPr>
        <w:shd w:val="clear" w:color="auto" w:fill="FFFFFF"/>
        <w:spacing w:before="100" w:beforeAutospacing="1" w:after="100" w:afterAutospacing="1" w:line="240" w:lineRule="auto"/>
        <w:ind w:left="900"/>
        <w:rPr>
          <w:rFonts w:asciiTheme="majorHAnsi" w:eastAsia="Times New Roman" w:hAnsiTheme="majorHAnsi" w:cstheme="majorHAnsi"/>
          <w:color w:val="212121"/>
        </w:rPr>
      </w:pPr>
      <w:r w:rsidRPr="00BC5BAA">
        <w:rPr>
          <w:rFonts w:asciiTheme="majorHAnsi" w:eastAsia="Times New Roman" w:hAnsiTheme="majorHAnsi" w:cstheme="majorHAnsi"/>
          <w:color w:val="212121"/>
        </w:rPr>
        <w:t>the operation and maintenance of the system.</w:t>
      </w:r>
    </w:p>
    <w:p w:rsidR="00BC5BAA" w:rsidRDefault="00BC5BAA" w:rsidP="00BC5BAA">
      <w:pPr>
        <w:shd w:val="clear" w:color="auto" w:fill="FFFFFF"/>
        <w:spacing w:after="0" w:line="240" w:lineRule="auto"/>
        <w:rPr>
          <w:rFonts w:asciiTheme="majorHAnsi" w:eastAsia="Times New Roman" w:hAnsiTheme="majorHAnsi" w:cstheme="majorHAnsi"/>
          <w:color w:val="212121"/>
        </w:rPr>
      </w:pPr>
      <w:r w:rsidRPr="00BC5BAA">
        <w:rPr>
          <w:rFonts w:asciiTheme="majorHAnsi" w:eastAsia="Times New Roman" w:hAnsiTheme="majorHAnsi" w:cstheme="majorHAnsi"/>
          <w:color w:val="212121"/>
        </w:rPr>
        <w:t>The assessment may include an evaluation of capital and operational needs for risk and resilience management for the system.</w:t>
      </w:r>
    </w:p>
    <w:p w:rsidR="001D0924" w:rsidRDefault="001D0924" w:rsidP="00BC5BAA">
      <w:pPr>
        <w:shd w:val="clear" w:color="auto" w:fill="FFFFFF"/>
        <w:spacing w:after="0" w:line="240" w:lineRule="auto"/>
        <w:rPr>
          <w:rFonts w:asciiTheme="majorHAnsi" w:eastAsia="Times New Roman" w:hAnsiTheme="majorHAnsi" w:cstheme="majorHAnsi"/>
          <w:color w:val="212121"/>
        </w:rPr>
      </w:pPr>
    </w:p>
    <w:p w:rsidR="001D0924" w:rsidRDefault="001D0924" w:rsidP="00BC5BAA">
      <w:pPr>
        <w:shd w:val="clear" w:color="auto" w:fill="FFFFFF"/>
        <w:spacing w:after="0" w:line="240" w:lineRule="auto"/>
        <w:rPr>
          <w:rFonts w:asciiTheme="majorHAnsi" w:eastAsia="Times New Roman" w:hAnsiTheme="majorHAnsi" w:cstheme="majorHAnsi"/>
          <w:b/>
          <w:color w:val="212121"/>
        </w:rPr>
      </w:pPr>
      <w:r w:rsidRPr="001D0924">
        <w:rPr>
          <w:rFonts w:asciiTheme="majorHAnsi" w:eastAsia="Times New Roman" w:hAnsiTheme="majorHAnsi" w:cstheme="majorHAnsi"/>
          <w:b/>
          <w:color w:val="212121"/>
        </w:rPr>
        <w:t>DEADLINES</w:t>
      </w:r>
    </w:p>
    <w:p w:rsidR="00CD44D1" w:rsidRPr="001D0924" w:rsidRDefault="00CD44D1" w:rsidP="00BC5BAA">
      <w:pPr>
        <w:shd w:val="clear" w:color="auto" w:fill="FFFFFF"/>
        <w:spacing w:after="0" w:line="240" w:lineRule="auto"/>
        <w:rPr>
          <w:rFonts w:asciiTheme="majorHAnsi" w:eastAsia="Times New Roman" w:hAnsiTheme="majorHAnsi" w:cstheme="majorHAnsi"/>
          <w:b/>
          <w:color w:val="212121"/>
        </w:rPr>
      </w:pPr>
    </w:p>
    <w:tbl>
      <w:tblPr>
        <w:tblStyle w:val="TableGrid"/>
        <w:tblW w:w="0" w:type="auto"/>
        <w:tblInd w:w="1735" w:type="dxa"/>
        <w:tblLook w:val="04A0" w:firstRow="1" w:lastRow="0" w:firstColumn="1" w:lastColumn="0" w:noHBand="0" w:noVBand="1"/>
      </w:tblPr>
      <w:tblGrid>
        <w:gridCol w:w="2490"/>
        <w:gridCol w:w="2610"/>
      </w:tblGrid>
      <w:tr w:rsidR="00CD44D1" w:rsidRPr="00FD7A66" w:rsidTr="006F67B4">
        <w:tc>
          <w:tcPr>
            <w:tcW w:w="2490" w:type="dxa"/>
            <w:vAlign w:val="center"/>
          </w:tcPr>
          <w:p w:rsidR="00CD44D1" w:rsidRPr="00FD7A66" w:rsidRDefault="00CD44D1" w:rsidP="006F67B4">
            <w:pPr>
              <w:jc w:val="center"/>
              <w:rPr>
                <w:rFonts w:asciiTheme="majorHAnsi" w:hAnsiTheme="majorHAnsi" w:cstheme="majorHAnsi"/>
                <w:b/>
                <w:sz w:val="28"/>
              </w:rPr>
            </w:pPr>
            <w:r w:rsidRPr="00FD7A66">
              <w:rPr>
                <w:rFonts w:asciiTheme="majorHAnsi" w:hAnsiTheme="majorHAnsi" w:cstheme="majorHAnsi"/>
                <w:b/>
                <w:sz w:val="28"/>
              </w:rPr>
              <w:t>Population Served</w:t>
            </w:r>
          </w:p>
        </w:tc>
        <w:tc>
          <w:tcPr>
            <w:tcW w:w="2610" w:type="dxa"/>
            <w:vAlign w:val="center"/>
          </w:tcPr>
          <w:p w:rsidR="00CD44D1" w:rsidRPr="00FD7A66" w:rsidRDefault="00CD44D1" w:rsidP="006F67B4">
            <w:pPr>
              <w:jc w:val="center"/>
              <w:rPr>
                <w:rFonts w:asciiTheme="majorHAnsi" w:hAnsiTheme="majorHAnsi" w:cstheme="majorHAnsi"/>
                <w:b/>
                <w:sz w:val="28"/>
              </w:rPr>
            </w:pPr>
            <w:r w:rsidRPr="00FD7A66">
              <w:rPr>
                <w:rFonts w:asciiTheme="majorHAnsi" w:hAnsiTheme="majorHAnsi" w:cstheme="majorHAnsi"/>
                <w:b/>
                <w:sz w:val="28"/>
              </w:rPr>
              <w:t>Deadlines</w:t>
            </w:r>
          </w:p>
        </w:tc>
      </w:tr>
      <w:tr w:rsidR="00CD44D1" w:rsidRPr="00FD7A66" w:rsidTr="006F67B4">
        <w:tc>
          <w:tcPr>
            <w:tcW w:w="2490" w:type="dxa"/>
          </w:tcPr>
          <w:p w:rsidR="00CD44D1" w:rsidRPr="00FD7A66" w:rsidRDefault="00CD44D1" w:rsidP="00CD44D1">
            <w:pPr>
              <w:jc w:val="center"/>
              <w:rPr>
                <w:rFonts w:asciiTheme="majorHAnsi" w:hAnsiTheme="majorHAnsi" w:cstheme="majorHAnsi"/>
                <w:sz w:val="28"/>
              </w:rPr>
            </w:pPr>
            <w:r w:rsidRPr="00FD7A66">
              <w:rPr>
                <w:rFonts w:asciiTheme="majorHAnsi" w:hAnsiTheme="majorHAnsi" w:cstheme="majorHAnsi"/>
                <w:b/>
                <w:sz w:val="28"/>
                <w:u w:val="single"/>
              </w:rPr>
              <w:t>&gt;</w:t>
            </w:r>
            <w:r w:rsidRPr="00CD44D1">
              <w:rPr>
                <w:rFonts w:asciiTheme="majorHAnsi" w:hAnsiTheme="majorHAnsi" w:cstheme="majorHAnsi"/>
                <w:sz w:val="28"/>
              </w:rPr>
              <w:t>1</w:t>
            </w:r>
            <w:r w:rsidRPr="00FD7A66">
              <w:rPr>
                <w:rFonts w:asciiTheme="majorHAnsi" w:hAnsiTheme="majorHAnsi" w:cstheme="majorHAnsi"/>
                <w:sz w:val="28"/>
              </w:rPr>
              <w:t>00,000</w:t>
            </w:r>
          </w:p>
        </w:tc>
        <w:tc>
          <w:tcPr>
            <w:tcW w:w="2610" w:type="dxa"/>
          </w:tcPr>
          <w:p w:rsidR="00CD44D1" w:rsidRPr="00FD7A66" w:rsidRDefault="00CD44D1" w:rsidP="006F67B4">
            <w:pPr>
              <w:rPr>
                <w:rFonts w:asciiTheme="majorHAnsi" w:hAnsiTheme="majorHAnsi" w:cstheme="majorHAnsi"/>
                <w:sz w:val="28"/>
              </w:rPr>
            </w:pPr>
            <w:r w:rsidRPr="00FD7A66">
              <w:rPr>
                <w:rFonts w:asciiTheme="majorHAnsi" w:hAnsiTheme="majorHAnsi" w:cstheme="majorHAnsi"/>
                <w:sz w:val="28"/>
              </w:rPr>
              <w:t>March 31, 2020</w:t>
            </w:r>
          </w:p>
        </w:tc>
      </w:tr>
      <w:tr w:rsidR="00CD44D1" w:rsidRPr="00FD7A66" w:rsidTr="006F67B4">
        <w:tc>
          <w:tcPr>
            <w:tcW w:w="2490" w:type="dxa"/>
          </w:tcPr>
          <w:p w:rsidR="00CD44D1" w:rsidRPr="00FD7A66" w:rsidRDefault="00CD44D1" w:rsidP="00CD44D1">
            <w:pPr>
              <w:jc w:val="center"/>
              <w:rPr>
                <w:rFonts w:asciiTheme="majorHAnsi" w:hAnsiTheme="majorHAnsi" w:cstheme="majorHAnsi"/>
                <w:sz w:val="28"/>
              </w:rPr>
            </w:pPr>
            <w:r w:rsidRPr="00FD7A66">
              <w:rPr>
                <w:rFonts w:asciiTheme="majorHAnsi" w:hAnsiTheme="majorHAnsi" w:cstheme="majorHAnsi"/>
                <w:sz w:val="28"/>
              </w:rPr>
              <w:t>50,000 – 99,999</w:t>
            </w:r>
          </w:p>
        </w:tc>
        <w:tc>
          <w:tcPr>
            <w:tcW w:w="2610" w:type="dxa"/>
          </w:tcPr>
          <w:p w:rsidR="00CD44D1" w:rsidRPr="00FD7A66" w:rsidRDefault="00CD44D1" w:rsidP="006F67B4">
            <w:pPr>
              <w:rPr>
                <w:rFonts w:asciiTheme="majorHAnsi" w:hAnsiTheme="majorHAnsi" w:cstheme="majorHAnsi"/>
                <w:sz w:val="28"/>
              </w:rPr>
            </w:pPr>
            <w:r w:rsidRPr="00FD7A66">
              <w:rPr>
                <w:rFonts w:asciiTheme="majorHAnsi" w:hAnsiTheme="majorHAnsi" w:cstheme="majorHAnsi"/>
                <w:sz w:val="28"/>
              </w:rPr>
              <w:t>December 31, 2020</w:t>
            </w:r>
          </w:p>
        </w:tc>
      </w:tr>
      <w:tr w:rsidR="00CD44D1" w:rsidRPr="00FD7A66" w:rsidTr="006F67B4">
        <w:tc>
          <w:tcPr>
            <w:tcW w:w="2490" w:type="dxa"/>
          </w:tcPr>
          <w:p w:rsidR="00CD44D1" w:rsidRPr="00FD7A66" w:rsidRDefault="00CD44D1" w:rsidP="00CD44D1">
            <w:pPr>
              <w:jc w:val="center"/>
              <w:rPr>
                <w:rFonts w:asciiTheme="majorHAnsi" w:hAnsiTheme="majorHAnsi" w:cstheme="majorHAnsi"/>
                <w:sz w:val="28"/>
              </w:rPr>
            </w:pPr>
            <w:r w:rsidRPr="00FD7A66">
              <w:rPr>
                <w:rFonts w:asciiTheme="majorHAnsi" w:hAnsiTheme="majorHAnsi" w:cstheme="majorHAnsi"/>
                <w:sz w:val="28"/>
              </w:rPr>
              <w:t>3,301 – 49,999</w:t>
            </w:r>
          </w:p>
        </w:tc>
        <w:tc>
          <w:tcPr>
            <w:tcW w:w="2610" w:type="dxa"/>
          </w:tcPr>
          <w:p w:rsidR="00CD44D1" w:rsidRPr="00FD7A66" w:rsidRDefault="00CD44D1" w:rsidP="006F67B4">
            <w:pPr>
              <w:rPr>
                <w:rFonts w:asciiTheme="majorHAnsi" w:hAnsiTheme="majorHAnsi" w:cstheme="majorHAnsi"/>
                <w:sz w:val="28"/>
              </w:rPr>
            </w:pPr>
            <w:r w:rsidRPr="00FD7A66">
              <w:rPr>
                <w:rFonts w:asciiTheme="majorHAnsi" w:hAnsiTheme="majorHAnsi" w:cstheme="majorHAnsi"/>
                <w:sz w:val="28"/>
              </w:rPr>
              <w:t>June 30, 2021</w:t>
            </w:r>
          </w:p>
        </w:tc>
      </w:tr>
    </w:tbl>
    <w:p w:rsidR="00BC5BAA" w:rsidRDefault="00BC5BAA" w:rsidP="00BC5BAA">
      <w:pPr>
        <w:shd w:val="clear" w:color="auto" w:fill="FFFFFF"/>
        <w:spacing w:after="0" w:line="240" w:lineRule="auto"/>
        <w:rPr>
          <w:rFonts w:asciiTheme="majorHAnsi" w:eastAsia="Times New Roman" w:hAnsiTheme="majorHAnsi" w:cstheme="majorHAnsi"/>
          <w:color w:val="212121"/>
        </w:rPr>
      </w:pPr>
    </w:p>
    <w:p w:rsidR="00CD44D1" w:rsidRDefault="00CD44D1" w:rsidP="00BC5BAA">
      <w:pPr>
        <w:shd w:val="clear" w:color="auto" w:fill="FFFFFF"/>
        <w:spacing w:after="0" w:line="240" w:lineRule="auto"/>
        <w:rPr>
          <w:rFonts w:asciiTheme="majorHAnsi" w:eastAsia="Times New Roman" w:hAnsiTheme="majorHAnsi" w:cstheme="majorHAnsi"/>
          <w:color w:val="212121"/>
        </w:rPr>
      </w:pPr>
    </w:p>
    <w:p w:rsidR="0068283B" w:rsidRPr="00CD44D1" w:rsidRDefault="00BC5BAA" w:rsidP="00CD44D1">
      <w:pPr>
        <w:shd w:val="clear" w:color="auto" w:fill="FFFFFF"/>
        <w:spacing w:after="0" w:line="240" w:lineRule="auto"/>
        <w:rPr>
          <w:rFonts w:asciiTheme="majorHAnsi" w:eastAsia="Times New Roman" w:hAnsiTheme="majorHAnsi" w:cstheme="majorHAnsi"/>
          <w:color w:val="212121"/>
        </w:rPr>
      </w:pPr>
      <w:r w:rsidRPr="00CD44D1">
        <w:rPr>
          <w:rFonts w:asciiTheme="majorHAnsi" w:eastAsia="Times New Roman" w:hAnsiTheme="majorHAnsi" w:cstheme="majorHAnsi"/>
          <w:color w:val="212121"/>
        </w:rPr>
        <w:t>Risk and Resilience Assessment Assistance Resources</w:t>
      </w:r>
      <w:r w:rsidR="0068283B" w:rsidRPr="00CD44D1">
        <w:rPr>
          <w:rFonts w:asciiTheme="majorHAnsi" w:eastAsia="Times New Roman" w:hAnsiTheme="majorHAnsi" w:cstheme="majorHAnsi"/>
          <w:color w:val="212121"/>
        </w:rPr>
        <w:t xml:space="preserve"> are posted on EPA’s webpage at:</w:t>
      </w:r>
    </w:p>
    <w:p w:rsidR="0068283B" w:rsidRPr="00CD44D1" w:rsidRDefault="006F6111" w:rsidP="00CD44D1">
      <w:pPr>
        <w:shd w:val="clear" w:color="auto" w:fill="FFFFFF"/>
        <w:spacing w:after="0" w:line="240" w:lineRule="auto"/>
        <w:rPr>
          <w:rFonts w:asciiTheme="majorHAnsi" w:eastAsia="Times New Roman" w:hAnsiTheme="majorHAnsi" w:cstheme="majorHAnsi"/>
          <w:color w:val="212121"/>
        </w:rPr>
      </w:pPr>
      <w:hyperlink r:id="rId9" w:history="1">
        <w:r w:rsidR="00CD44D1" w:rsidRPr="009908DE">
          <w:rPr>
            <w:rStyle w:val="Hyperlink"/>
            <w:rFonts w:asciiTheme="majorHAnsi" w:eastAsia="Times New Roman" w:hAnsiTheme="majorHAnsi" w:cstheme="majorHAnsi"/>
          </w:rPr>
          <w:t>https://www.epa.gov/waterresilience/americas-water-infrastructure-act-risk-assessments-and-emergency-response-plans</w:t>
        </w:r>
      </w:hyperlink>
      <w:r w:rsidR="00CD44D1">
        <w:rPr>
          <w:rFonts w:asciiTheme="majorHAnsi" w:eastAsia="Times New Roman" w:hAnsiTheme="majorHAnsi" w:cstheme="majorHAnsi"/>
          <w:color w:val="212121"/>
        </w:rPr>
        <w:t xml:space="preserve"> </w:t>
      </w:r>
    </w:p>
    <w:p w:rsidR="004C5F7C" w:rsidRDefault="004C5F7C" w:rsidP="00CD44D1">
      <w:pPr>
        <w:pStyle w:val="NormalWeb"/>
        <w:shd w:val="clear" w:color="auto" w:fill="FFFFFF"/>
        <w:spacing w:before="0" w:beforeAutospacing="0" w:after="0" w:afterAutospacing="0"/>
        <w:rPr>
          <w:rFonts w:asciiTheme="majorHAnsi" w:hAnsiTheme="majorHAnsi" w:cstheme="majorHAnsi"/>
          <w:b/>
          <w:color w:val="212121"/>
        </w:rPr>
      </w:pPr>
    </w:p>
    <w:p w:rsidR="004C5F7C" w:rsidRDefault="004C5F7C" w:rsidP="00CD44D1">
      <w:pPr>
        <w:pStyle w:val="NormalWeb"/>
        <w:shd w:val="clear" w:color="auto" w:fill="FFFFFF"/>
        <w:spacing w:before="0" w:beforeAutospacing="0" w:after="0" w:afterAutospacing="0"/>
        <w:rPr>
          <w:rFonts w:asciiTheme="majorHAnsi" w:hAnsiTheme="majorHAnsi" w:cstheme="majorHAnsi"/>
          <w:b/>
          <w:color w:val="212121"/>
        </w:rPr>
      </w:pPr>
      <w:r w:rsidRPr="004C5F7C">
        <w:rPr>
          <w:rFonts w:asciiTheme="majorHAnsi" w:hAnsiTheme="majorHAnsi" w:cstheme="majorHAnsi"/>
          <w:color w:val="212121"/>
        </w:rPr>
        <w:t>This</w:t>
      </w:r>
      <w:r>
        <w:rPr>
          <w:rFonts w:asciiTheme="majorHAnsi" w:hAnsiTheme="majorHAnsi" w:cstheme="majorHAnsi"/>
          <w:b/>
          <w:color w:val="212121"/>
        </w:rPr>
        <w:t xml:space="preserve"> </w:t>
      </w:r>
      <w:r>
        <w:rPr>
          <w:rFonts w:asciiTheme="majorHAnsi" w:hAnsiTheme="majorHAnsi" w:cstheme="majorHAnsi"/>
          <w:bCs/>
        </w:rPr>
        <w:t xml:space="preserve">includes such documents as the </w:t>
      </w:r>
      <w:hyperlink r:id="rId10" w:history="1">
        <w:r w:rsidRPr="00BC5BAA">
          <w:rPr>
            <w:rFonts w:asciiTheme="majorHAnsi" w:hAnsiTheme="majorHAnsi" w:cstheme="majorHAnsi"/>
            <w:bCs/>
          </w:rPr>
          <w:t>Baseline Information on Malevolent Acts for Community Water Systems</w:t>
        </w:r>
      </w:hyperlink>
      <w:r>
        <w:rPr>
          <w:rFonts w:asciiTheme="majorHAnsi" w:hAnsiTheme="majorHAnsi" w:cstheme="majorHAnsi"/>
          <w:bCs/>
        </w:rPr>
        <w:t xml:space="preserve"> and </w:t>
      </w:r>
      <w:hyperlink r:id="rId11" w:history="1">
        <w:r w:rsidRPr="00BC5BAA">
          <w:rPr>
            <w:rFonts w:asciiTheme="majorHAnsi" w:hAnsiTheme="majorHAnsi" w:cstheme="majorHAnsi"/>
            <w:bCs/>
          </w:rPr>
          <w:t>Vulnerabil</w:t>
        </w:r>
        <w:r w:rsidRPr="0068283B">
          <w:rPr>
            <w:rFonts w:asciiTheme="majorHAnsi" w:hAnsiTheme="majorHAnsi" w:cstheme="majorHAnsi"/>
            <w:bCs/>
          </w:rPr>
          <w:t>i</w:t>
        </w:r>
        <w:r w:rsidRPr="00BC5BAA">
          <w:rPr>
            <w:rFonts w:asciiTheme="majorHAnsi" w:hAnsiTheme="majorHAnsi" w:cstheme="majorHAnsi"/>
            <w:bCs/>
          </w:rPr>
          <w:t>ty Self-Assessment Tool</w:t>
        </w:r>
      </w:hyperlink>
      <w:r w:rsidR="0038781C">
        <w:rPr>
          <w:rFonts w:asciiTheme="majorHAnsi" w:hAnsiTheme="majorHAnsi" w:cstheme="majorHAnsi"/>
          <w:bCs/>
        </w:rPr>
        <w:t>.</w:t>
      </w:r>
    </w:p>
    <w:p w:rsidR="004C5F7C" w:rsidRDefault="004C5F7C" w:rsidP="00CD44D1">
      <w:pPr>
        <w:pStyle w:val="NormalWeb"/>
        <w:shd w:val="clear" w:color="auto" w:fill="FFFFFF"/>
        <w:spacing w:before="0" w:beforeAutospacing="0" w:after="0" w:afterAutospacing="0"/>
        <w:rPr>
          <w:rFonts w:asciiTheme="majorHAnsi" w:hAnsiTheme="majorHAnsi" w:cstheme="majorHAnsi"/>
          <w:b/>
          <w:color w:val="212121"/>
        </w:rPr>
      </w:pPr>
    </w:p>
    <w:p w:rsidR="00497999" w:rsidRPr="004C5F7C" w:rsidRDefault="004C5F7C" w:rsidP="00CD44D1">
      <w:pPr>
        <w:pStyle w:val="NormalWeb"/>
        <w:shd w:val="clear" w:color="auto" w:fill="FFFFFF"/>
        <w:spacing w:before="0" w:beforeAutospacing="0" w:after="0" w:afterAutospacing="0"/>
        <w:rPr>
          <w:rFonts w:asciiTheme="majorHAnsi" w:hAnsiTheme="majorHAnsi" w:cstheme="majorHAnsi"/>
          <w:b/>
          <w:color w:val="212121"/>
        </w:rPr>
      </w:pPr>
      <w:r w:rsidRPr="004C5F7C">
        <w:rPr>
          <w:rFonts w:asciiTheme="majorHAnsi" w:hAnsiTheme="majorHAnsi" w:cstheme="majorHAnsi"/>
          <w:b/>
          <w:color w:val="212121"/>
        </w:rPr>
        <w:t>Electronic Submission of Certification</w:t>
      </w:r>
    </w:p>
    <w:p w:rsidR="004C5F7C" w:rsidRDefault="004C5F7C" w:rsidP="00CD44D1">
      <w:pPr>
        <w:pStyle w:val="NormalWeb"/>
        <w:shd w:val="clear" w:color="auto" w:fill="FFFFFF"/>
        <w:spacing w:before="0" w:beforeAutospacing="0" w:after="0" w:afterAutospacing="0"/>
        <w:rPr>
          <w:rFonts w:asciiTheme="majorHAnsi" w:hAnsiTheme="majorHAnsi" w:cstheme="majorHAnsi"/>
          <w:color w:val="212121"/>
        </w:rPr>
      </w:pPr>
      <w:r>
        <w:rPr>
          <w:rFonts w:asciiTheme="majorHAnsi" w:hAnsiTheme="majorHAnsi" w:cstheme="majorHAnsi"/>
          <w:color w:val="212121"/>
        </w:rPr>
        <w:t>EPA strongly recommends electronic submission of your community water system’s certification statement.  This is the only reporting method where EPA will be able to provide an acknowledgement of receipt of your certification statement.</w:t>
      </w:r>
    </w:p>
    <w:p w:rsidR="004C5F7C" w:rsidRDefault="004C5F7C" w:rsidP="00CD44D1">
      <w:pPr>
        <w:pStyle w:val="NormalWeb"/>
        <w:shd w:val="clear" w:color="auto" w:fill="FFFFFF"/>
        <w:spacing w:before="0" w:beforeAutospacing="0" w:after="0" w:afterAutospacing="0"/>
        <w:rPr>
          <w:rFonts w:asciiTheme="majorHAnsi" w:hAnsiTheme="majorHAnsi" w:cstheme="majorHAnsi"/>
          <w:color w:val="212121"/>
        </w:rPr>
      </w:pPr>
    </w:p>
    <w:p w:rsidR="00BC5BAA" w:rsidRDefault="00BC5BAA" w:rsidP="00BC5BAA">
      <w:pPr>
        <w:pStyle w:val="NormalWeb"/>
        <w:shd w:val="clear" w:color="auto" w:fill="FFFFFF"/>
        <w:spacing w:before="0" w:beforeAutospacing="0" w:after="0" w:afterAutospacing="0"/>
        <w:rPr>
          <w:rFonts w:asciiTheme="majorHAnsi" w:hAnsiTheme="majorHAnsi" w:cstheme="majorHAnsi"/>
          <w:color w:val="212121"/>
        </w:rPr>
      </w:pPr>
      <w:r w:rsidRPr="00BC5BAA">
        <w:rPr>
          <w:rFonts w:asciiTheme="majorHAnsi" w:hAnsiTheme="majorHAnsi" w:cstheme="majorHAnsi"/>
          <w:color w:val="212121"/>
        </w:rPr>
        <w:t>Please have your PWSID number available before you begin the certification process.</w:t>
      </w:r>
      <w:r w:rsidR="00497999">
        <w:rPr>
          <w:rFonts w:asciiTheme="majorHAnsi" w:hAnsiTheme="majorHAnsi" w:cstheme="majorHAnsi"/>
          <w:color w:val="212121"/>
        </w:rPr>
        <w:t xml:space="preserve">  You will need to register each PWSID number as you begin this process.</w:t>
      </w:r>
    </w:p>
    <w:p w:rsidR="00497999" w:rsidRDefault="00497999" w:rsidP="00BC5BAA">
      <w:pPr>
        <w:pStyle w:val="NormalWeb"/>
        <w:shd w:val="clear" w:color="auto" w:fill="FFFFFF"/>
        <w:spacing w:before="0" w:beforeAutospacing="0" w:after="0" w:afterAutospacing="0"/>
        <w:rPr>
          <w:rFonts w:asciiTheme="majorHAnsi" w:hAnsiTheme="majorHAnsi" w:cstheme="majorHAnsi"/>
          <w:color w:val="212121"/>
        </w:rPr>
      </w:pPr>
    </w:p>
    <w:p w:rsidR="00BC5BAA" w:rsidRPr="00B14D2E" w:rsidRDefault="00497999" w:rsidP="00B14D2E">
      <w:pPr>
        <w:pStyle w:val="NormalWeb"/>
        <w:shd w:val="clear" w:color="auto" w:fill="FFFFFF"/>
        <w:spacing w:before="0" w:beforeAutospacing="0" w:after="0" w:afterAutospacing="0"/>
        <w:rPr>
          <w:rFonts w:asciiTheme="majorHAnsi" w:hAnsiTheme="majorHAnsi" w:cstheme="majorHAnsi"/>
          <w:color w:val="212121"/>
        </w:rPr>
      </w:pPr>
      <w:r>
        <w:rPr>
          <w:rFonts w:asciiTheme="majorHAnsi" w:hAnsiTheme="majorHAnsi" w:cstheme="majorHAnsi"/>
          <w:color w:val="212121"/>
        </w:rPr>
        <w:t xml:space="preserve">For additional information, contact Patti Kay Wisniewski, EPA Region 3 Drinking Water Preparedness and Resilience Coordinator, at </w:t>
      </w:r>
      <w:hyperlink r:id="rId12" w:history="1">
        <w:r w:rsidRPr="0029496D">
          <w:rPr>
            <w:rStyle w:val="Hyperlink"/>
            <w:rFonts w:asciiTheme="majorHAnsi" w:hAnsiTheme="majorHAnsi" w:cstheme="majorHAnsi"/>
          </w:rPr>
          <w:t>Wisniewski.patti-kay@epa.gov</w:t>
        </w:r>
      </w:hyperlink>
      <w:r>
        <w:rPr>
          <w:rFonts w:asciiTheme="majorHAnsi" w:hAnsiTheme="majorHAnsi" w:cstheme="majorHAnsi"/>
          <w:color w:val="212121"/>
        </w:rPr>
        <w:t xml:space="preserve"> or 215-814-5668</w:t>
      </w:r>
      <w:r w:rsidR="00B14D2E">
        <w:rPr>
          <w:rFonts w:asciiTheme="majorHAnsi" w:hAnsiTheme="majorHAnsi" w:cstheme="majorHAnsi"/>
          <w:color w:val="212121"/>
        </w:rPr>
        <w:t>.</w:t>
      </w:r>
    </w:p>
    <w:sectPr w:rsidR="00BC5BAA" w:rsidRPr="00B14D2E" w:rsidSect="002E57D7">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111" w:rsidRDefault="006F6111" w:rsidP="00850EED">
      <w:pPr>
        <w:spacing w:after="0" w:line="240" w:lineRule="auto"/>
      </w:pPr>
      <w:r>
        <w:separator/>
      </w:r>
    </w:p>
  </w:endnote>
  <w:endnote w:type="continuationSeparator" w:id="0">
    <w:p w:rsidR="006F6111" w:rsidRDefault="006F6111" w:rsidP="0085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111" w:rsidRDefault="006F6111" w:rsidP="00850EED">
      <w:pPr>
        <w:spacing w:after="0" w:line="240" w:lineRule="auto"/>
      </w:pPr>
      <w:r>
        <w:separator/>
      </w:r>
    </w:p>
  </w:footnote>
  <w:footnote w:type="continuationSeparator" w:id="0">
    <w:p w:rsidR="006F6111" w:rsidRDefault="006F6111" w:rsidP="00850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85C1A"/>
    <w:multiLevelType w:val="multilevel"/>
    <w:tmpl w:val="4672FD96"/>
    <w:lvl w:ilvl="0">
      <w:start w:val="1"/>
      <w:numFmt w:val="decimal"/>
      <w:lvlText w:val="%1."/>
      <w:lvlJc w:val="left"/>
      <w:pPr>
        <w:tabs>
          <w:tab w:val="num" w:pos="2520"/>
        </w:tabs>
        <w:ind w:left="2520" w:hanging="360"/>
      </w:pPr>
      <w:rPr>
        <w:rFonts w:asciiTheme="majorHAnsi" w:eastAsia="Times New Roman" w:hAnsiTheme="majorHAnsi" w:cstheme="majorHAnsi"/>
      </w:r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 w15:restartNumberingAfterBreak="0">
    <w:nsid w:val="24965558"/>
    <w:multiLevelType w:val="multilevel"/>
    <w:tmpl w:val="B8D8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AA"/>
    <w:rsid w:val="00031E17"/>
    <w:rsid w:val="001D0924"/>
    <w:rsid w:val="002E57D7"/>
    <w:rsid w:val="0038781C"/>
    <w:rsid w:val="00412DE4"/>
    <w:rsid w:val="00431583"/>
    <w:rsid w:val="004812D7"/>
    <w:rsid w:val="00497999"/>
    <w:rsid w:val="004C5F7C"/>
    <w:rsid w:val="0068283B"/>
    <w:rsid w:val="006E0DB2"/>
    <w:rsid w:val="006F6111"/>
    <w:rsid w:val="00767F1C"/>
    <w:rsid w:val="007F7523"/>
    <w:rsid w:val="00850EED"/>
    <w:rsid w:val="00871C1E"/>
    <w:rsid w:val="008D7B31"/>
    <w:rsid w:val="00A26A74"/>
    <w:rsid w:val="00B14D2E"/>
    <w:rsid w:val="00B66FB2"/>
    <w:rsid w:val="00BC5BAA"/>
    <w:rsid w:val="00C14E27"/>
    <w:rsid w:val="00C5239E"/>
    <w:rsid w:val="00CD44D1"/>
    <w:rsid w:val="00D006CC"/>
    <w:rsid w:val="00F0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ABA56C-9873-4F46-A43E-C7905846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1C1E"/>
  </w:style>
  <w:style w:type="paragraph" w:styleId="Heading2">
    <w:name w:val="heading 2"/>
    <w:basedOn w:val="Normal"/>
    <w:link w:val="Heading2Char"/>
    <w:uiPriority w:val="9"/>
    <w:qFormat/>
    <w:rsid w:val="00BC5B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C5B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C5BAA"/>
    <w:pPr>
      <w:spacing w:before="100" w:beforeAutospacing="1" w:after="100" w:afterAutospacing="1"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5B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5BA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C5BAA"/>
    <w:rPr>
      <w:rFonts w:ascii="Times New Roman" w:eastAsia="Times New Roman" w:hAnsi="Times New Roman" w:cs="Times New Roman"/>
      <w:b/>
      <w:bCs/>
    </w:rPr>
  </w:style>
  <w:style w:type="paragraph" w:styleId="NormalWeb">
    <w:name w:val="Normal (Web)"/>
    <w:basedOn w:val="Normal"/>
    <w:uiPriority w:val="99"/>
    <w:unhideWhenUsed/>
    <w:rsid w:val="00BC5BA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BC5BAA"/>
    <w:rPr>
      <w:b/>
      <w:bCs/>
    </w:rPr>
  </w:style>
  <w:style w:type="paragraph" w:styleId="BalloonText">
    <w:name w:val="Balloon Text"/>
    <w:basedOn w:val="Normal"/>
    <w:link w:val="BalloonTextChar"/>
    <w:uiPriority w:val="99"/>
    <w:semiHidden/>
    <w:unhideWhenUsed/>
    <w:rsid w:val="00BC5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BAA"/>
    <w:rPr>
      <w:rFonts w:ascii="Segoe UI" w:hAnsi="Segoe UI" w:cs="Segoe UI"/>
      <w:sz w:val="18"/>
      <w:szCs w:val="18"/>
    </w:rPr>
  </w:style>
  <w:style w:type="paragraph" w:styleId="ListParagraph">
    <w:name w:val="List Paragraph"/>
    <w:basedOn w:val="Normal"/>
    <w:uiPriority w:val="34"/>
    <w:qFormat/>
    <w:rsid w:val="0068283B"/>
    <w:pPr>
      <w:ind w:left="720"/>
      <w:contextualSpacing/>
    </w:pPr>
  </w:style>
  <w:style w:type="character" w:styleId="Hyperlink">
    <w:name w:val="Hyperlink"/>
    <w:basedOn w:val="DefaultParagraphFont"/>
    <w:uiPriority w:val="99"/>
    <w:unhideWhenUsed/>
    <w:rsid w:val="0068283B"/>
    <w:rPr>
      <w:color w:val="0000FF"/>
      <w:u w:val="single"/>
    </w:rPr>
  </w:style>
  <w:style w:type="character" w:styleId="UnresolvedMention">
    <w:name w:val="Unresolved Mention"/>
    <w:basedOn w:val="DefaultParagraphFont"/>
    <w:uiPriority w:val="99"/>
    <w:semiHidden/>
    <w:unhideWhenUsed/>
    <w:rsid w:val="00497999"/>
    <w:rPr>
      <w:color w:val="605E5C"/>
      <w:shd w:val="clear" w:color="auto" w:fill="E1DFDD"/>
    </w:rPr>
  </w:style>
  <w:style w:type="table" w:styleId="TableGrid">
    <w:name w:val="Table Grid"/>
    <w:basedOn w:val="TableNormal"/>
    <w:uiPriority w:val="39"/>
    <w:rsid w:val="00CD4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EED"/>
  </w:style>
  <w:style w:type="paragraph" w:styleId="Footer">
    <w:name w:val="footer"/>
    <w:basedOn w:val="Normal"/>
    <w:link w:val="FooterChar"/>
    <w:uiPriority w:val="99"/>
    <w:unhideWhenUsed/>
    <w:rsid w:val="00850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78988">
      <w:bodyDiv w:val="1"/>
      <w:marLeft w:val="0"/>
      <w:marRight w:val="0"/>
      <w:marTop w:val="0"/>
      <w:marBottom w:val="0"/>
      <w:divBdr>
        <w:top w:val="none" w:sz="0" w:space="0" w:color="auto"/>
        <w:left w:val="none" w:sz="0" w:space="0" w:color="auto"/>
        <w:bottom w:val="none" w:sz="0" w:space="0" w:color="auto"/>
        <w:right w:val="none" w:sz="0" w:space="0" w:color="auto"/>
      </w:divBdr>
    </w:div>
    <w:div w:id="133615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sniewski.patti-kay@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waterriskassessment/conduct-drinking-water-or-wastewater-utility-risk-assessment" TargetMode="External"/><Relationship Id="rId5" Type="http://schemas.openxmlformats.org/officeDocument/2006/relationships/webSettings" Target="webSettings.xml"/><Relationship Id="rId10" Type="http://schemas.openxmlformats.org/officeDocument/2006/relationships/hyperlink" Target="https://www.epa.gov/waterriskassessment/baseline-information-malevolent-acts-community-water-systems" TargetMode="External"/><Relationship Id="rId4" Type="http://schemas.openxmlformats.org/officeDocument/2006/relationships/settings" Target="settings.xml"/><Relationship Id="rId9" Type="http://schemas.openxmlformats.org/officeDocument/2006/relationships/hyperlink" Target="https://www.epa.gov/waterresilience/americas-water-infrastructure-act-risk-assessments-and-emergency-response-pla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409FC-D9BC-4C57-964E-A464359D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Wisniewski, Patti-Kay</dc:creator>
  <cp:keywords/>
  <dc:description/>
  <cp:lastModifiedBy>rachel ellis</cp:lastModifiedBy>
  <cp:revision>2</cp:revision>
  <dcterms:created xsi:type="dcterms:W3CDTF">2019-10-30T23:46:00Z</dcterms:created>
  <dcterms:modified xsi:type="dcterms:W3CDTF">2019-10-30T23:46:00Z</dcterms:modified>
</cp:coreProperties>
</file>