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934" w:rsidRDefault="00A54A21" w:rsidP="008B6E13">
      <w:pPr>
        <w:spacing w:before="120" w:after="0" w:line="240" w:lineRule="auto"/>
        <w:jc w:val="center"/>
        <w:rPr>
          <w:b/>
          <w:sz w:val="36"/>
        </w:rPr>
      </w:pPr>
      <w:r>
        <w:rPr>
          <w:b/>
          <w:sz w:val="36"/>
        </w:rPr>
        <w:t>Opportunity Equity for High-Poverty Students</w:t>
      </w:r>
      <w:r w:rsidR="00651A15">
        <w:rPr>
          <w:b/>
          <w:sz w:val="36"/>
        </w:rPr>
        <w:t>:</w:t>
      </w:r>
    </w:p>
    <w:p w:rsidR="00651A15" w:rsidRPr="00B741B4" w:rsidRDefault="00651A15" w:rsidP="00452934">
      <w:pPr>
        <w:spacing w:after="0" w:line="240" w:lineRule="auto"/>
        <w:jc w:val="center"/>
        <w:rPr>
          <w:b/>
          <w:sz w:val="24"/>
          <w:szCs w:val="24"/>
        </w:rPr>
      </w:pPr>
      <w:r>
        <w:rPr>
          <w:b/>
          <w:sz w:val="36"/>
        </w:rPr>
        <w:t xml:space="preserve">A </w:t>
      </w:r>
      <w:r w:rsidR="003C71F2">
        <w:rPr>
          <w:b/>
          <w:sz w:val="36"/>
        </w:rPr>
        <w:t>20</w:t>
      </w:r>
      <w:r w:rsidR="00BD153E">
        <w:rPr>
          <w:b/>
          <w:sz w:val="36"/>
        </w:rPr>
        <w:t>20</w:t>
      </w:r>
      <w:r w:rsidR="00452934">
        <w:rPr>
          <w:b/>
          <w:sz w:val="36"/>
        </w:rPr>
        <w:t xml:space="preserve"> </w:t>
      </w:r>
      <w:r>
        <w:rPr>
          <w:b/>
          <w:sz w:val="36"/>
        </w:rPr>
        <w:t>Legislative Priority</w:t>
      </w:r>
      <w:r w:rsidR="00D8250D">
        <w:rPr>
          <w:b/>
          <w:sz w:val="36"/>
        </w:rPr>
        <w:t xml:space="preserve"> </w:t>
      </w:r>
    </w:p>
    <w:p w:rsidR="00CE04E6" w:rsidRPr="008B6E13" w:rsidRDefault="00BD153E" w:rsidP="00CA4A8B">
      <w:pPr>
        <w:widowControl w:val="0"/>
        <w:spacing w:before="240" w:after="240" w:line="240" w:lineRule="auto"/>
        <w:rPr>
          <w:rFonts w:ascii="Arial" w:eastAsia="Calibri" w:hAnsi="Arial" w:cs="Arial"/>
        </w:rPr>
      </w:pPr>
      <w:r w:rsidRPr="008B6E13">
        <w:rPr>
          <w:rFonts w:ascii="Arial" w:eastAsia="Calibri" w:hAnsi="Arial" w:cs="Arial"/>
          <w:b/>
          <w:noProof/>
        </w:rPr>
        <w:drawing>
          <wp:anchor distT="0" distB="0" distL="114300" distR="114300" simplePos="0" relativeHeight="251658240" behindDoc="1" locked="0" layoutInCell="1" allowOverlap="1">
            <wp:simplePos x="0" y="0"/>
            <wp:positionH relativeFrom="column">
              <wp:posOffset>3542665</wp:posOffset>
            </wp:positionH>
            <wp:positionV relativeFrom="paragraph">
              <wp:posOffset>196850</wp:posOffset>
            </wp:positionV>
            <wp:extent cx="3066415" cy="1811020"/>
            <wp:effectExtent l="0" t="0" r="635" b="0"/>
            <wp:wrapTight wrapText="bothSides">
              <wp:wrapPolygon edited="0">
                <wp:start x="0" y="0"/>
                <wp:lineTo x="0" y="21358"/>
                <wp:lineTo x="21470" y="21358"/>
                <wp:lineTo x="21470" y="0"/>
                <wp:lineTo x="0" y="0"/>
              </wp:wrapPolygon>
            </wp:wrapTight>
            <wp:docPr id="6" name="Picture 6" descr="C:\Users\Margaret\Downloads\map_Free and Reduced Pc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Downloads\map_Free and Reduced Pct.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6415"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A15" w:rsidRPr="008B6E13">
        <w:rPr>
          <w:rFonts w:ascii="Arial" w:eastAsia="Calibri" w:hAnsi="Arial" w:cs="Arial"/>
          <w:b/>
        </w:rPr>
        <w:t>Background:</w:t>
      </w:r>
      <w:r w:rsidR="00651A15" w:rsidRPr="008B6E13">
        <w:rPr>
          <w:rFonts w:ascii="Arial" w:eastAsia="Calibri" w:hAnsi="Arial" w:cs="Arial"/>
        </w:rPr>
        <w:t xml:space="preserve"> </w:t>
      </w:r>
      <w:bookmarkStart w:id="0" w:name="_GoBack"/>
      <w:bookmarkEnd w:id="0"/>
      <w:r w:rsidR="00D43093" w:rsidRPr="008B6E13">
        <w:rPr>
          <w:rFonts w:ascii="Arial" w:eastAsia="Calibri" w:hAnsi="Arial" w:cs="Arial"/>
        </w:rPr>
        <w:t xml:space="preserve">Iowa’s funding formula </w:t>
      </w:r>
      <w:r w:rsidR="00CA4A8B" w:rsidRPr="008B6E13">
        <w:rPr>
          <w:rFonts w:ascii="Arial" w:eastAsia="Calibri" w:hAnsi="Arial" w:cs="Arial"/>
        </w:rPr>
        <w:t>does not sufficiently recognize</w:t>
      </w:r>
      <w:r w:rsidR="00D43093" w:rsidRPr="008B6E13">
        <w:rPr>
          <w:rFonts w:ascii="Arial" w:eastAsia="Calibri" w:hAnsi="Arial" w:cs="Arial"/>
        </w:rPr>
        <w:t xml:space="preserve"> </w:t>
      </w:r>
      <w:r w:rsidR="008B6E13">
        <w:rPr>
          <w:rFonts w:ascii="Arial" w:eastAsia="Calibri" w:hAnsi="Arial" w:cs="Arial"/>
        </w:rPr>
        <w:t>poverty</w:t>
      </w:r>
      <w:r w:rsidR="00D43093" w:rsidRPr="008B6E13">
        <w:rPr>
          <w:rFonts w:ascii="Arial" w:eastAsia="Calibri" w:hAnsi="Arial" w:cs="Arial"/>
        </w:rPr>
        <w:t xml:space="preserve"> as a driver of at-risk student programing.  </w:t>
      </w:r>
      <w:r w:rsidR="00D8250D" w:rsidRPr="008B6E13">
        <w:rPr>
          <w:rFonts w:ascii="Arial" w:eastAsia="Calibri" w:hAnsi="Arial" w:cs="Arial"/>
        </w:rPr>
        <w:t>In 2001, about 28% of students were eligible for Free</w:t>
      </w:r>
      <w:r w:rsidRPr="008B6E13">
        <w:rPr>
          <w:rFonts w:ascii="Arial" w:eastAsia="Calibri" w:hAnsi="Arial" w:cs="Arial"/>
        </w:rPr>
        <w:t>/</w:t>
      </w:r>
      <w:r w:rsidR="00D8250D" w:rsidRPr="008B6E13">
        <w:rPr>
          <w:rFonts w:ascii="Arial" w:eastAsia="Calibri" w:hAnsi="Arial" w:cs="Arial"/>
        </w:rPr>
        <w:t xml:space="preserve">Reduced </w:t>
      </w:r>
      <w:r w:rsidRPr="008B6E13">
        <w:rPr>
          <w:rFonts w:ascii="Arial" w:eastAsia="Calibri" w:hAnsi="Arial" w:cs="Arial"/>
        </w:rPr>
        <w:t xml:space="preserve">Price </w:t>
      </w:r>
      <w:r w:rsidR="00D8250D" w:rsidRPr="008B6E13">
        <w:rPr>
          <w:rFonts w:ascii="Arial" w:eastAsia="Calibri" w:hAnsi="Arial" w:cs="Arial"/>
        </w:rPr>
        <w:t>Lunch</w:t>
      </w:r>
      <w:r w:rsidRPr="008B6E13">
        <w:rPr>
          <w:rFonts w:ascii="Arial" w:eastAsia="Calibri" w:hAnsi="Arial" w:cs="Arial"/>
        </w:rPr>
        <w:t xml:space="preserve"> (FRPL)</w:t>
      </w:r>
      <w:r w:rsidR="00D8250D" w:rsidRPr="008B6E13">
        <w:rPr>
          <w:rFonts w:ascii="Arial" w:eastAsia="Calibri" w:hAnsi="Arial" w:cs="Arial"/>
        </w:rPr>
        <w:t xml:space="preserve">, with the lowest district percentage of eligibility at 4.2%.  </w:t>
      </w:r>
      <w:r w:rsidRPr="008B6E13">
        <w:rPr>
          <w:rFonts w:ascii="Arial" w:eastAsia="Calibri" w:hAnsi="Arial" w:cs="Arial"/>
        </w:rPr>
        <w:t xml:space="preserve">That rate has since nearly doubled. </w:t>
      </w:r>
      <w:r w:rsidR="00AB581E">
        <w:rPr>
          <w:rFonts w:ascii="Arial" w:eastAsia="Calibri" w:hAnsi="Arial" w:cs="Arial"/>
        </w:rPr>
        <w:t xml:space="preserve"> </w:t>
      </w:r>
      <w:r w:rsidR="00D43093" w:rsidRPr="008B6E13">
        <w:rPr>
          <w:rFonts w:ascii="Arial" w:eastAsia="Calibri" w:hAnsi="Arial" w:cs="Arial"/>
        </w:rPr>
        <w:t xml:space="preserve">Dropout Prevention funding is based on total enrollment count, </w:t>
      </w:r>
      <w:r w:rsidR="003420EB" w:rsidRPr="008B6E13">
        <w:rPr>
          <w:rFonts w:ascii="Arial" w:eastAsia="Calibri" w:hAnsi="Arial" w:cs="Arial"/>
        </w:rPr>
        <w:t>not the p</w:t>
      </w:r>
      <w:r w:rsidR="008B6E13">
        <w:rPr>
          <w:rFonts w:ascii="Arial" w:eastAsia="Calibri" w:hAnsi="Arial" w:cs="Arial"/>
        </w:rPr>
        <w:t xml:space="preserve">ercentage of students at-risk. </w:t>
      </w:r>
      <w:r w:rsidR="00AB581E">
        <w:rPr>
          <w:rFonts w:ascii="Arial" w:eastAsia="Calibri" w:hAnsi="Arial" w:cs="Arial"/>
        </w:rPr>
        <w:t xml:space="preserve"> </w:t>
      </w:r>
      <w:r w:rsidR="00CA4A8B" w:rsidRPr="008B6E13">
        <w:rPr>
          <w:rFonts w:ascii="Arial" w:eastAsia="Calibri" w:hAnsi="Arial" w:cs="Arial"/>
        </w:rPr>
        <w:t xml:space="preserve">Although flexibility for use of DoP funds </w:t>
      </w:r>
      <w:r w:rsidRPr="008B6E13">
        <w:rPr>
          <w:rFonts w:ascii="Arial" w:eastAsia="Calibri" w:hAnsi="Arial" w:cs="Arial"/>
        </w:rPr>
        <w:t>has been legislatively expanded</w:t>
      </w:r>
      <w:r w:rsidR="00CA4A8B" w:rsidRPr="008B6E13">
        <w:rPr>
          <w:rFonts w:ascii="Arial" w:eastAsia="Calibri" w:hAnsi="Arial" w:cs="Arial"/>
        </w:rPr>
        <w:t xml:space="preserve">, </w:t>
      </w:r>
      <w:r w:rsidR="003420EB" w:rsidRPr="008B6E13">
        <w:rPr>
          <w:rFonts w:ascii="Arial" w:eastAsia="Calibri" w:hAnsi="Arial" w:cs="Arial"/>
        </w:rPr>
        <w:t xml:space="preserve">DoP funding is </w:t>
      </w:r>
      <w:r w:rsidR="00CA4A8B" w:rsidRPr="008B6E13">
        <w:rPr>
          <w:rFonts w:ascii="Arial" w:eastAsia="Calibri" w:hAnsi="Arial" w:cs="Arial"/>
        </w:rPr>
        <w:t xml:space="preserve">still </w:t>
      </w:r>
      <w:r w:rsidR="003420EB" w:rsidRPr="008B6E13">
        <w:rPr>
          <w:rFonts w:ascii="Arial" w:eastAsia="Calibri" w:hAnsi="Arial" w:cs="Arial"/>
        </w:rPr>
        <w:t>limited to</w:t>
      </w:r>
      <w:r w:rsidR="00D43093" w:rsidRPr="008B6E13">
        <w:rPr>
          <w:rFonts w:ascii="Arial" w:eastAsia="Calibri" w:hAnsi="Arial" w:cs="Arial"/>
        </w:rPr>
        <w:t xml:space="preserve"> 2.5% of the total regular program district cost or up to 5% of regular program district cost based on historical practice.</w:t>
      </w:r>
    </w:p>
    <w:p w:rsidR="00CA4A8B" w:rsidRPr="008B6E13" w:rsidRDefault="00F00114" w:rsidP="008B6E13">
      <w:pPr>
        <w:widowControl w:val="0"/>
        <w:spacing w:after="0" w:line="240" w:lineRule="auto"/>
        <w:rPr>
          <w:rFonts w:ascii="Arial" w:eastAsia="Calibri" w:hAnsi="Arial" w:cs="Arial"/>
        </w:rPr>
      </w:pPr>
      <w:r w:rsidRPr="008B6E13">
        <w:rPr>
          <w:rFonts w:ascii="Arial" w:eastAsia="Calibri" w:hAnsi="Arial" w:cs="Arial"/>
          <w:b/>
        </w:rPr>
        <w:t>Curren</w:t>
      </w:r>
      <w:r w:rsidR="002A5125" w:rsidRPr="008B6E13">
        <w:rPr>
          <w:rFonts w:ascii="Arial" w:eastAsia="Calibri" w:hAnsi="Arial" w:cs="Arial"/>
          <w:b/>
        </w:rPr>
        <w:t>t Reality:</w:t>
      </w:r>
      <w:r w:rsidR="002A5125" w:rsidRPr="008B6E13">
        <w:rPr>
          <w:rFonts w:ascii="Arial" w:eastAsia="Calibri" w:hAnsi="Arial" w:cs="Arial"/>
        </w:rPr>
        <w:t xml:space="preserve">  </w:t>
      </w:r>
      <w:r w:rsidR="00452934" w:rsidRPr="008B6E13">
        <w:rPr>
          <w:rFonts w:ascii="Arial" w:eastAsia="Calibri" w:hAnsi="Arial" w:cs="Arial"/>
        </w:rPr>
        <w:t>In FY 201</w:t>
      </w:r>
      <w:r w:rsidR="00BD153E" w:rsidRPr="008B6E13">
        <w:rPr>
          <w:rFonts w:ascii="Arial" w:eastAsia="Calibri" w:hAnsi="Arial" w:cs="Arial"/>
        </w:rPr>
        <w:t>9</w:t>
      </w:r>
      <w:r w:rsidR="00452934" w:rsidRPr="008B6E13">
        <w:rPr>
          <w:rFonts w:ascii="Arial" w:eastAsia="Calibri" w:hAnsi="Arial" w:cs="Arial"/>
        </w:rPr>
        <w:t xml:space="preserve">, </w:t>
      </w:r>
      <w:r w:rsidR="00BD153E" w:rsidRPr="008B6E13">
        <w:rPr>
          <w:rFonts w:ascii="Arial" w:eastAsia="Calibri" w:hAnsi="Arial" w:cs="Arial"/>
        </w:rPr>
        <w:t>43.0</w:t>
      </w:r>
      <w:r w:rsidR="00452934" w:rsidRPr="008B6E13">
        <w:rPr>
          <w:rFonts w:ascii="Arial" w:eastAsia="Calibri" w:hAnsi="Arial" w:cs="Arial"/>
        </w:rPr>
        <w:t>% of student</w:t>
      </w:r>
      <w:r w:rsidR="00D8250D" w:rsidRPr="008B6E13">
        <w:rPr>
          <w:rFonts w:ascii="Arial" w:eastAsia="Calibri" w:hAnsi="Arial" w:cs="Arial"/>
        </w:rPr>
        <w:t>s</w:t>
      </w:r>
      <w:r w:rsidR="00BD153E" w:rsidRPr="008B6E13">
        <w:rPr>
          <w:rFonts w:ascii="Arial" w:eastAsia="Calibri" w:hAnsi="Arial" w:cs="Arial"/>
        </w:rPr>
        <w:t>, or 207,835 children,</w:t>
      </w:r>
      <w:r w:rsidR="00452934" w:rsidRPr="008B6E13">
        <w:rPr>
          <w:rFonts w:ascii="Arial" w:eastAsia="Calibri" w:hAnsi="Arial" w:cs="Arial"/>
        </w:rPr>
        <w:t xml:space="preserve"> were </w:t>
      </w:r>
      <w:r w:rsidR="00BD153E" w:rsidRPr="008B6E13">
        <w:rPr>
          <w:rFonts w:ascii="Arial" w:eastAsia="Calibri" w:hAnsi="Arial" w:cs="Arial"/>
        </w:rPr>
        <w:t>FRPL eligible</w:t>
      </w:r>
      <w:r w:rsidR="00D43093" w:rsidRPr="008B6E13">
        <w:rPr>
          <w:rFonts w:ascii="Arial" w:eastAsia="Calibri" w:hAnsi="Arial" w:cs="Arial"/>
        </w:rPr>
        <w:t>.</w:t>
      </w:r>
      <w:r w:rsidR="00452934" w:rsidRPr="008B6E13">
        <w:rPr>
          <w:rFonts w:ascii="Arial" w:eastAsia="Calibri" w:hAnsi="Arial" w:cs="Arial"/>
        </w:rPr>
        <w:t xml:space="preserve"> </w:t>
      </w:r>
    </w:p>
    <w:p w:rsidR="00D43093" w:rsidRPr="008B6E13" w:rsidRDefault="00304FFA" w:rsidP="00CA4A8B">
      <w:pPr>
        <w:pStyle w:val="ListParagraph"/>
        <w:widowControl w:val="0"/>
        <w:numPr>
          <w:ilvl w:val="0"/>
          <w:numId w:val="5"/>
        </w:numPr>
        <w:spacing w:after="240" w:line="240" w:lineRule="auto"/>
        <w:rPr>
          <w:rFonts w:ascii="Arial" w:eastAsia="Calibri" w:hAnsi="Arial" w:cs="Arial"/>
        </w:rPr>
      </w:pPr>
      <w:r w:rsidRPr="008B6E13">
        <w:rPr>
          <w:rFonts w:ascii="Arial" w:eastAsia="Calibri" w:hAnsi="Arial" w:cs="Arial"/>
        </w:rPr>
        <w:t>P</w:t>
      </w:r>
      <w:r w:rsidR="00CA4A8B" w:rsidRPr="008B6E13">
        <w:rPr>
          <w:rFonts w:ascii="Arial" w:eastAsia="Calibri" w:hAnsi="Arial" w:cs="Arial"/>
        </w:rPr>
        <w:t>overty is now</w:t>
      </w:r>
      <w:r w:rsidR="00D43093" w:rsidRPr="008B6E13">
        <w:rPr>
          <w:rFonts w:ascii="Arial" w:eastAsia="Calibri" w:hAnsi="Arial" w:cs="Arial"/>
        </w:rPr>
        <w:t xml:space="preserve"> found throughout the state</w:t>
      </w:r>
      <w:r w:rsidR="008B6E13">
        <w:rPr>
          <w:rFonts w:ascii="Arial" w:eastAsia="Calibri" w:hAnsi="Arial" w:cs="Arial"/>
        </w:rPr>
        <w:t xml:space="preserve"> and it’s a rural challenge</w:t>
      </w:r>
      <w:r w:rsidR="00D43093" w:rsidRPr="008B6E13">
        <w:rPr>
          <w:rFonts w:ascii="Arial" w:eastAsia="Calibri" w:hAnsi="Arial" w:cs="Arial"/>
        </w:rPr>
        <w:t>.</w:t>
      </w:r>
      <w:r w:rsidR="00CA4A8B" w:rsidRPr="008B6E13">
        <w:rPr>
          <w:rFonts w:ascii="Arial" w:eastAsia="Calibri" w:hAnsi="Arial" w:cs="Arial"/>
        </w:rPr>
        <w:t xml:space="preserve">  </w:t>
      </w:r>
      <w:r w:rsidR="00361B4E" w:rsidRPr="008B6E13">
        <w:rPr>
          <w:rFonts w:ascii="Arial" w:eastAsia="Calibri" w:hAnsi="Arial" w:cs="Arial"/>
        </w:rPr>
        <w:t xml:space="preserve">The map’s darkest color shows districts with </w:t>
      </w:r>
      <w:r w:rsidR="00CA4A8B" w:rsidRPr="008B6E13">
        <w:rPr>
          <w:rFonts w:ascii="Arial" w:eastAsia="Calibri" w:hAnsi="Arial" w:cs="Arial"/>
        </w:rPr>
        <w:t>5</w:t>
      </w:r>
      <w:r w:rsidR="00BD153E" w:rsidRPr="008B6E13">
        <w:rPr>
          <w:rFonts w:ascii="Arial" w:eastAsia="Calibri" w:hAnsi="Arial" w:cs="Arial"/>
        </w:rPr>
        <w:t>0</w:t>
      </w:r>
      <w:r w:rsidR="00361B4E" w:rsidRPr="008B6E13">
        <w:rPr>
          <w:rFonts w:ascii="Arial" w:eastAsia="Calibri" w:hAnsi="Arial" w:cs="Arial"/>
        </w:rPr>
        <w:t xml:space="preserve">% or more of enrolled students eligible for </w:t>
      </w:r>
      <w:r w:rsidR="00BD153E" w:rsidRPr="008B6E13">
        <w:rPr>
          <w:rFonts w:ascii="Arial" w:eastAsia="Calibri" w:hAnsi="Arial" w:cs="Arial"/>
        </w:rPr>
        <w:t>FRPL</w:t>
      </w:r>
      <w:r w:rsidR="00361B4E" w:rsidRPr="008B6E13">
        <w:rPr>
          <w:rFonts w:ascii="Arial" w:eastAsia="Calibri" w:hAnsi="Arial" w:cs="Arial"/>
        </w:rPr>
        <w:t xml:space="preserve">.  </w:t>
      </w:r>
      <w:r w:rsidR="00D43093" w:rsidRPr="008B6E13">
        <w:rPr>
          <w:rFonts w:ascii="Arial" w:eastAsia="Calibri" w:hAnsi="Arial" w:cs="Arial"/>
        </w:rPr>
        <w:t xml:space="preserve">Of the </w:t>
      </w:r>
      <w:r w:rsidRPr="008B6E13">
        <w:rPr>
          <w:rFonts w:ascii="Arial" w:eastAsia="Calibri" w:hAnsi="Arial" w:cs="Arial"/>
        </w:rPr>
        <w:t>83</w:t>
      </w:r>
      <w:r w:rsidR="00D43093" w:rsidRPr="008B6E13">
        <w:rPr>
          <w:rFonts w:ascii="Arial" w:eastAsia="Calibri" w:hAnsi="Arial" w:cs="Arial"/>
        </w:rPr>
        <w:t xml:space="preserve"> school districts with more than half of students eligible, </w:t>
      </w:r>
      <w:r w:rsidRPr="008B6E13">
        <w:rPr>
          <w:rFonts w:ascii="Arial" w:eastAsia="Calibri" w:hAnsi="Arial" w:cs="Arial"/>
        </w:rPr>
        <w:t>7</w:t>
      </w:r>
      <w:r w:rsidR="005F0285" w:rsidRPr="008B6E13">
        <w:rPr>
          <w:rFonts w:ascii="Arial" w:eastAsia="Calibri" w:hAnsi="Arial" w:cs="Arial"/>
        </w:rPr>
        <w:t>1</w:t>
      </w:r>
      <w:r w:rsidR="00D43093" w:rsidRPr="008B6E13">
        <w:rPr>
          <w:rFonts w:ascii="Arial" w:eastAsia="Calibri" w:hAnsi="Arial" w:cs="Arial"/>
        </w:rPr>
        <w:t xml:space="preserve"> are rural. </w:t>
      </w:r>
      <w:r w:rsidRPr="008B6E13">
        <w:rPr>
          <w:rFonts w:ascii="Arial" w:eastAsia="Calibri" w:hAnsi="Arial" w:cs="Arial"/>
        </w:rPr>
        <w:t xml:space="preserve">In districts </w:t>
      </w:r>
      <w:r w:rsidR="00452934" w:rsidRPr="008B6E13">
        <w:rPr>
          <w:rFonts w:ascii="Arial" w:eastAsia="Calibri" w:hAnsi="Arial" w:cs="Arial"/>
        </w:rPr>
        <w:t>below 300 enrolled</w:t>
      </w:r>
      <w:r w:rsidRPr="008B6E13">
        <w:rPr>
          <w:rFonts w:ascii="Arial" w:eastAsia="Calibri" w:hAnsi="Arial" w:cs="Arial"/>
        </w:rPr>
        <w:t>,</w:t>
      </w:r>
      <w:r w:rsidR="00452934" w:rsidRPr="008B6E13">
        <w:rPr>
          <w:rFonts w:ascii="Arial" w:eastAsia="Calibri" w:hAnsi="Arial" w:cs="Arial"/>
        </w:rPr>
        <w:t xml:space="preserve"> </w:t>
      </w:r>
      <w:r w:rsidR="005F0285" w:rsidRPr="008B6E13">
        <w:rPr>
          <w:rFonts w:ascii="Arial" w:eastAsia="Calibri" w:hAnsi="Arial" w:cs="Arial"/>
        </w:rPr>
        <w:t>50.3</w:t>
      </w:r>
      <w:r w:rsidR="00452934" w:rsidRPr="008B6E13">
        <w:rPr>
          <w:rFonts w:ascii="Arial" w:eastAsia="Calibri" w:hAnsi="Arial" w:cs="Arial"/>
        </w:rPr>
        <w:t xml:space="preserve">% </w:t>
      </w:r>
      <w:r w:rsidR="005F0285" w:rsidRPr="008B6E13">
        <w:rPr>
          <w:rFonts w:ascii="Arial" w:eastAsia="Calibri" w:hAnsi="Arial" w:cs="Arial"/>
        </w:rPr>
        <w:t xml:space="preserve">of enrolled students are </w:t>
      </w:r>
      <w:r w:rsidR="00452934" w:rsidRPr="008B6E13">
        <w:rPr>
          <w:rFonts w:ascii="Arial" w:eastAsia="Calibri" w:hAnsi="Arial" w:cs="Arial"/>
        </w:rPr>
        <w:t>eligible</w:t>
      </w:r>
      <w:r w:rsidR="00BE7279" w:rsidRPr="008B6E13">
        <w:rPr>
          <w:rFonts w:ascii="Arial" w:eastAsia="Calibri" w:hAnsi="Arial" w:cs="Arial"/>
        </w:rPr>
        <w:t>.</w:t>
      </w:r>
      <w:r w:rsidR="008B6E13">
        <w:rPr>
          <w:rFonts w:ascii="Arial" w:eastAsia="Calibri" w:hAnsi="Arial" w:cs="Arial"/>
        </w:rPr>
        <w:t xml:space="preserve"> </w:t>
      </w:r>
      <w:r w:rsidR="00AB581E">
        <w:rPr>
          <w:rFonts w:ascii="Arial" w:eastAsia="Calibri" w:hAnsi="Arial" w:cs="Arial"/>
        </w:rPr>
        <w:t xml:space="preserve"> </w:t>
      </w:r>
      <w:r w:rsidR="008B6E13">
        <w:rPr>
          <w:rFonts w:ascii="Arial" w:eastAsia="Calibri" w:hAnsi="Arial" w:cs="Arial"/>
        </w:rPr>
        <w:t xml:space="preserve">Rural Iowa communities further lack other resources to help low-income families. </w:t>
      </w:r>
    </w:p>
    <w:p w:rsidR="00F00114" w:rsidRPr="008B6E13" w:rsidRDefault="00D43093" w:rsidP="00B75FC4">
      <w:pPr>
        <w:pStyle w:val="ListParagraph"/>
        <w:widowControl w:val="0"/>
        <w:numPr>
          <w:ilvl w:val="0"/>
          <w:numId w:val="5"/>
        </w:numPr>
        <w:spacing w:after="480" w:line="240" w:lineRule="auto"/>
        <w:rPr>
          <w:rFonts w:ascii="Arial" w:eastAsia="Calibri" w:hAnsi="Arial" w:cs="Arial"/>
        </w:rPr>
      </w:pPr>
      <w:r w:rsidRPr="008B6E13">
        <w:rPr>
          <w:rFonts w:ascii="Arial" w:eastAsia="Calibri" w:hAnsi="Arial" w:cs="Arial"/>
        </w:rPr>
        <w:t xml:space="preserve">Iowa’s funding for at-risk and dropout prevention translates into </w:t>
      </w:r>
      <w:r w:rsidR="00361B4E" w:rsidRPr="008B6E13">
        <w:rPr>
          <w:rFonts w:ascii="Arial" w:eastAsia="Calibri" w:hAnsi="Arial" w:cs="Arial"/>
        </w:rPr>
        <w:t>less than 10%</w:t>
      </w:r>
      <w:r w:rsidR="00304FFA" w:rsidRPr="008B6E13">
        <w:rPr>
          <w:rFonts w:ascii="Arial" w:eastAsia="Calibri" w:hAnsi="Arial" w:cs="Arial"/>
        </w:rPr>
        <w:t xml:space="preserve"> </w:t>
      </w:r>
      <w:r w:rsidRPr="008B6E13">
        <w:rPr>
          <w:rFonts w:ascii="Arial" w:eastAsia="Calibri" w:hAnsi="Arial" w:cs="Arial"/>
        </w:rPr>
        <w:t>funding commitment for students</w:t>
      </w:r>
      <w:r w:rsidR="008B6E13">
        <w:rPr>
          <w:rFonts w:ascii="Arial" w:eastAsia="Calibri" w:hAnsi="Arial" w:cs="Arial"/>
        </w:rPr>
        <w:t xml:space="preserve"> in poverty</w:t>
      </w:r>
      <w:r w:rsidR="00304FFA" w:rsidRPr="008B6E13">
        <w:rPr>
          <w:rFonts w:ascii="Arial" w:eastAsia="Calibri" w:hAnsi="Arial" w:cs="Arial"/>
        </w:rPr>
        <w:t>, well</w:t>
      </w:r>
      <w:r w:rsidR="00D41F0C" w:rsidRPr="008B6E13">
        <w:rPr>
          <w:rFonts w:ascii="Arial" w:eastAsia="Calibri" w:hAnsi="Arial" w:cs="Arial"/>
        </w:rPr>
        <w:t xml:space="preserve"> short of t</w:t>
      </w:r>
      <w:r w:rsidRPr="008B6E13">
        <w:rPr>
          <w:rFonts w:ascii="Arial" w:eastAsia="Calibri" w:hAnsi="Arial" w:cs="Arial"/>
        </w:rPr>
        <w:t xml:space="preserve">he national average 29% beyond the base for low-income students. </w:t>
      </w:r>
      <w:r w:rsidR="00AB581E">
        <w:rPr>
          <w:rFonts w:ascii="Arial" w:eastAsia="Calibri" w:hAnsi="Arial" w:cs="Arial"/>
        </w:rPr>
        <w:t xml:space="preserve"> </w:t>
      </w:r>
      <w:r w:rsidR="00D208D1" w:rsidRPr="008B6E13">
        <w:rPr>
          <w:rFonts w:ascii="Arial" w:eastAsia="Calibri" w:hAnsi="Arial" w:cs="Arial"/>
        </w:rPr>
        <w:t>(</w:t>
      </w:r>
      <w:r w:rsidR="00A54A21">
        <w:rPr>
          <w:rFonts w:ascii="Arial" w:eastAsia="Calibri" w:hAnsi="Arial" w:cs="Arial"/>
        </w:rPr>
        <w:t>AIR</w:t>
      </w:r>
      <w:r w:rsidR="00D208D1" w:rsidRPr="008B6E13">
        <w:rPr>
          <w:rFonts w:ascii="Arial" w:eastAsia="Calibri" w:hAnsi="Arial" w:cs="Arial"/>
        </w:rPr>
        <w:t xml:space="preserve">, </w:t>
      </w:r>
      <w:hyperlink r:id="rId8" w:history="1">
        <w:r w:rsidR="00D208D1" w:rsidRPr="008B6E13">
          <w:rPr>
            <w:rStyle w:val="Hyperlink"/>
            <w:rFonts w:ascii="Arial" w:eastAsia="Calibri" w:hAnsi="Arial" w:cs="Arial"/>
          </w:rPr>
          <w:t>Stud</w:t>
        </w:r>
        <w:r w:rsidR="00D8250D" w:rsidRPr="008B6E13">
          <w:rPr>
            <w:rStyle w:val="Hyperlink"/>
            <w:rFonts w:ascii="Arial" w:eastAsia="Calibri" w:hAnsi="Arial" w:cs="Arial"/>
          </w:rPr>
          <w:t>y</w:t>
        </w:r>
        <w:r w:rsidR="00D208D1" w:rsidRPr="008B6E13">
          <w:rPr>
            <w:rStyle w:val="Hyperlink"/>
            <w:rFonts w:ascii="Arial" w:eastAsia="Calibri" w:hAnsi="Arial" w:cs="Arial"/>
          </w:rPr>
          <w:t xml:space="preserve"> of a new Method of Funding for Public Schools in Nevada</w:t>
        </w:r>
      </w:hyperlink>
      <w:r w:rsidR="00D208D1" w:rsidRPr="008B6E13">
        <w:rPr>
          <w:rFonts w:ascii="Arial" w:eastAsia="Calibri" w:hAnsi="Arial" w:cs="Arial"/>
        </w:rPr>
        <w:t>, Sept. 2012)</w:t>
      </w:r>
    </w:p>
    <w:p w:rsidR="00D43093" w:rsidRPr="008B6E13" w:rsidRDefault="00D43093" w:rsidP="003C71F2">
      <w:pPr>
        <w:pStyle w:val="ListParagraph"/>
        <w:widowControl w:val="0"/>
        <w:numPr>
          <w:ilvl w:val="0"/>
          <w:numId w:val="5"/>
        </w:numPr>
        <w:spacing w:after="480" w:line="240" w:lineRule="auto"/>
        <w:rPr>
          <w:rFonts w:ascii="Arial" w:eastAsia="Calibri" w:hAnsi="Arial" w:cs="Arial"/>
        </w:rPr>
      </w:pPr>
      <w:r w:rsidRPr="008B6E13">
        <w:rPr>
          <w:rFonts w:ascii="Arial" w:eastAsia="Calibri" w:hAnsi="Arial" w:cs="Arial"/>
        </w:rPr>
        <w:t>Students from low</w:t>
      </w:r>
      <w:r w:rsidR="008B6E13" w:rsidRPr="008B6E13">
        <w:rPr>
          <w:rFonts w:ascii="Arial" w:eastAsia="Calibri" w:hAnsi="Arial" w:cs="Arial"/>
        </w:rPr>
        <w:t>-</w:t>
      </w:r>
      <w:r w:rsidRPr="008B6E13">
        <w:rPr>
          <w:rFonts w:ascii="Arial" w:eastAsia="Calibri" w:hAnsi="Arial" w:cs="Arial"/>
        </w:rPr>
        <w:t xml:space="preserve">income families are more likely to </w:t>
      </w:r>
      <w:r w:rsidR="00435F1B" w:rsidRPr="008B6E13">
        <w:rPr>
          <w:rFonts w:ascii="Arial" w:eastAsia="Calibri" w:hAnsi="Arial" w:cs="Arial"/>
        </w:rPr>
        <w:t>begin school</w:t>
      </w:r>
      <w:r w:rsidRPr="008B6E13">
        <w:rPr>
          <w:rFonts w:ascii="Arial" w:eastAsia="Calibri" w:hAnsi="Arial" w:cs="Arial"/>
        </w:rPr>
        <w:t xml:space="preserve"> </w:t>
      </w:r>
      <w:r w:rsidR="0069100F" w:rsidRPr="008B6E13">
        <w:rPr>
          <w:rFonts w:ascii="Arial" w:eastAsia="Calibri" w:hAnsi="Arial" w:cs="Arial"/>
        </w:rPr>
        <w:t>academically</w:t>
      </w:r>
      <w:r w:rsidR="008B6E13">
        <w:rPr>
          <w:rFonts w:ascii="Arial" w:eastAsia="Calibri" w:hAnsi="Arial" w:cs="Arial"/>
        </w:rPr>
        <w:t xml:space="preserve"> behind</w:t>
      </w:r>
      <w:r w:rsidRPr="008B6E13">
        <w:rPr>
          <w:rFonts w:ascii="Arial" w:eastAsia="Calibri" w:hAnsi="Arial" w:cs="Arial"/>
        </w:rPr>
        <w:t xml:space="preserve">, </w:t>
      </w:r>
      <w:r w:rsidR="00435F1B" w:rsidRPr="008B6E13">
        <w:rPr>
          <w:rFonts w:ascii="Arial" w:eastAsia="Calibri" w:hAnsi="Arial" w:cs="Arial"/>
        </w:rPr>
        <w:t xml:space="preserve">exhibit nonproficient literacy skills, </w:t>
      </w:r>
      <w:r w:rsidRPr="008B6E13">
        <w:rPr>
          <w:rFonts w:ascii="Arial" w:eastAsia="Calibri" w:hAnsi="Arial" w:cs="Arial"/>
        </w:rPr>
        <w:t xml:space="preserve">especially in early elementary, </w:t>
      </w:r>
      <w:r w:rsidR="00435F1B" w:rsidRPr="008B6E13">
        <w:rPr>
          <w:rFonts w:ascii="Arial" w:eastAsia="Calibri" w:hAnsi="Arial" w:cs="Arial"/>
        </w:rPr>
        <w:t>a</w:t>
      </w:r>
      <w:r w:rsidR="0069100F" w:rsidRPr="008B6E13">
        <w:rPr>
          <w:rFonts w:ascii="Arial" w:eastAsia="Calibri" w:hAnsi="Arial" w:cs="Arial"/>
        </w:rPr>
        <w:t>nd</w:t>
      </w:r>
      <w:r w:rsidR="00435F1B" w:rsidRPr="008B6E13">
        <w:rPr>
          <w:rFonts w:ascii="Arial" w:eastAsia="Calibri" w:hAnsi="Arial" w:cs="Arial"/>
        </w:rPr>
        <w:t xml:space="preserve"> </w:t>
      </w:r>
      <w:r w:rsidRPr="008B6E13">
        <w:rPr>
          <w:rFonts w:ascii="Arial" w:eastAsia="Calibri" w:hAnsi="Arial" w:cs="Arial"/>
        </w:rPr>
        <w:t>fall further behind over summer</w:t>
      </w:r>
      <w:r w:rsidR="00435F1B" w:rsidRPr="008B6E13">
        <w:rPr>
          <w:rFonts w:ascii="Arial" w:eastAsia="Calibri" w:hAnsi="Arial" w:cs="Arial"/>
        </w:rPr>
        <w:t xml:space="preserve"> breaks, unless schools have the resources, staff and programs to meet their needs</w:t>
      </w:r>
      <w:r w:rsidR="0069100F" w:rsidRPr="008B6E13">
        <w:rPr>
          <w:rFonts w:ascii="Arial" w:eastAsia="Calibri" w:hAnsi="Arial" w:cs="Arial"/>
        </w:rPr>
        <w:t xml:space="preserve">. </w:t>
      </w:r>
    </w:p>
    <w:p w:rsidR="00361B4E" w:rsidRPr="008B6E13" w:rsidRDefault="008B6E13" w:rsidP="003C71F2">
      <w:pPr>
        <w:pStyle w:val="ListParagraph"/>
        <w:widowControl w:val="0"/>
        <w:numPr>
          <w:ilvl w:val="0"/>
          <w:numId w:val="5"/>
        </w:numPr>
        <w:spacing w:after="480" w:line="240" w:lineRule="auto"/>
        <w:rPr>
          <w:rFonts w:ascii="Arial" w:eastAsia="Calibri" w:hAnsi="Arial" w:cs="Arial"/>
        </w:rPr>
      </w:pPr>
      <w:r w:rsidRPr="008B6E13">
        <w:rPr>
          <w:rFonts w:ascii="Arial" w:eastAsia="Calibri" w:hAnsi="Arial" w:cs="Arial"/>
        </w:rPr>
        <w:t>Districts must waive student fees for FRPL-eligible families, meaning those districts with concentrated poverty have less resource for textbooks and drivers’ education, further stressing the general fund.</w:t>
      </w:r>
    </w:p>
    <w:p w:rsidR="001C69C5" w:rsidRPr="008B6E13" w:rsidRDefault="00126772" w:rsidP="00724D0D">
      <w:pPr>
        <w:pStyle w:val="ListParagraph"/>
        <w:widowControl w:val="0"/>
        <w:numPr>
          <w:ilvl w:val="0"/>
          <w:numId w:val="5"/>
        </w:numPr>
        <w:spacing w:after="120" w:line="240" w:lineRule="auto"/>
        <w:rPr>
          <w:rFonts w:ascii="Arial" w:eastAsia="Calibri" w:hAnsi="Arial" w:cs="Arial"/>
        </w:rPr>
      </w:pPr>
      <w:r>
        <w:rPr>
          <w:rFonts w:ascii="Arial" w:eastAsia="Calibri" w:hAnsi="Arial" w:cs="Arial"/>
        </w:rPr>
        <w:t xml:space="preserve">High-poverty School </w:t>
      </w:r>
      <w:r w:rsidR="00304FFA" w:rsidRPr="008B6E13">
        <w:rPr>
          <w:rFonts w:ascii="Arial" w:eastAsia="Calibri" w:hAnsi="Arial" w:cs="Arial"/>
        </w:rPr>
        <w:t xml:space="preserve">Investments boosts achievement.  </w:t>
      </w:r>
      <w:r w:rsidR="00041BFE" w:rsidRPr="008B6E13">
        <w:rPr>
          <w:rFonts w:ascii="Arial" w:eastAsia="Calibri" w:hAnsi="Arial" w:cs="Arial"/>
        </w:rPr>
        <w:t>Education Week, </w:t>
      </w:r>
      <w:hyperlink r:id="rId9" w:history="1">
        <w:r w:rsidR="00041BFE" w:rsidRPr="008B6E13">
          <w:rPr>
            <w:rStyle w:val="Hyperlink"/>
            <w:rFonts w:ascii="Arial" w:eastAsia="Calibri" w:hAnsi="Arial" w:cs="Arial"/>
          </w:rPr>
          <w:t>Student Outcomes: Does More Money Really Matter?</w:t>
        </w:r>
      </w:hyperlink>
      <w:r w:rsidR="00AB581E">
        <w:rPr>
          <w:rFonts w:ascii="Arial" w:eastAsia="Calibri" w:hAnsi="Arial" w:cs="Arial"/>
        </w:rPr>
        <w:t xml:space="preserve">  </w:t>
      </w:r>
      <w:r w:rsidR="00041BFE" w:rsidRPr="008B6E13">
        <w:rPr>
          <w:rFonts w:ascii="Arial" w:eastAsia="Calibri" w:hAnsi="Arial" w:cs="Arial"/>
          <w:i/>
        </w:rPr>
        <w:t>Fresh research bolsters the case for K-12 cash—and a rough road without it</w:t>
      </w:r>
      <w:r w:rsidR="00304FFA" w:rsidRPr="008B6E13">
        <w:rPr>
          <w:rFonts w:ascii="Arial" w:eastAsia="Calibri" w:hAnsi="Arial" w:cs="Arial"/>
        </w:rPr>
        <w:t xml:space="preserve">, </w:t>
      </w:r>
      <w:r w:rsidR="00041BFE" w:rsidRPr="008B6E13">
        <w:rPr>
          <w:rFonts w:ascii="Arial" w:eastAsia="Calibri" w:hAnsi="Arial" w:cs="Arial"/>
        </w:rPr>
        <w:t>Daarel Burnette II</w:t>
      </w:r>
      <w:r w:rsidR="00304FFA" w:rsidRPr="008B6E13">
        <w:rPr>
          <w:rFonts w:ascii="Arial" w:eastAsia="Calibri" w:hAnsi="Arial" w:cs="Arial"/>
        </w:rPr>
        <w:t>,</w:t>
      </w:r>
      <w:r w:rsidR="00041BFE" w:rsidRPr="008B6E13">
        <w:rPr>
          <w:rFonts w:ascii="Arial" w:eastAsia="Calibri" w:hAnsi="Arial" w:cs="Arial"/>
        </w:rPr>
        <w:t> June 4, 2019</w:t>
      </w:r>
      <w:r w:rsidR="00304FFA" w:rsidRPr="008B6E13">
        <w:rPr>
          <w:rFonts w:ascii="Arial" w:eastAsia="Calibri" w:hAnsi="Arial" w:cs="Arial"/>
        </w:rPr>
        <w:t xml:space="preserve"> reports:</w:t>
      </w:r>
      <w:r w:rsidR="00AB581E">
        <w:rPr>
          <w:rFonts w:ascii="Arial" w:eastAsia="Calibri" w:hAnsi="Arial" w:cs="Arial"/>
        </w:rPr>
        <w:t xml:space="preserve"> </w:t>
      </w:r>
      <w:r w:rsidR="00304FFA" w:rsidRPr="008B6E13">
        <w:rPr>
          <w:rFonts w:ascii="Arial" w:eastAsia="Calibri" w:hAnsi="Arial" w:cs="Arial"/>
        </w:rPr>
        <w:t xml:space="preserve"> </w:t>
      </w:r>
      <w:r w:rsidR="00041BFE" w:rsidRPr="008B6E13">
        <w:rPr>
          <w:rFonts w:ascii="Arial" w:eastAsia="Calibri" w:hAnsi="Arial" w:cs="Arial"/>
        </w:rPr>
        <w:t>"Now, a growing number of researchers are pushing back against what they see as a simplistic, reductionist view of the role that spending plays in school quality and student performance.</w:t>
      </w:r>
      <w:r w:rsidR="00AB581E">
        <w:rPr>
          <w:rFonts w:ascii="Arial" w:eastAsia="Calibri" w:hAnsi="Arial" w:cs="Arial"/>
        </w:rPr>
        <w:t xml:space="preserve"> </w:t>
      </w:r>
      <w:r w:rsidR="00041BFE" w:rsidRPr="008B6E13">
        <w:rPr>
          <w:rFonts w:ascii="Arial" w:eastAsia="Calibri" w:hAnsi="Arial" w:cs="Arial"/>
        </w:rPr>
        <w:t xml:space="preserve"> More money does, in fact, make a difference, they say—provided that you spend enough, and in the right manner. </w:t>
      </w:r>
      <w:r w:rsidR="00AB581E">
        <w:rPr>
          <w:rFonts w:ascii="Arial" w:eastAsia="Calibri" w:hAnsi="Arial" w:cs="Arial"/>
        </w:rPr>
        <w:t xml:space="preserve"> </w:t>
      </w:r>
      <w:r w:rsidR="00041BFE" w:rsidRPr="008B6E13">
        <w:rPr>
          <w:rFonts w:ascii="Arial" w:eastAsia="Calibri" w:hAnsi="Arial" w:cs="Arial"/>
        </w:rPr>
        <w:t>They point to research in the past five years that provides examples of instances where politicians and taxpayers invested more money in teacher salaries, school construction, and schools with high populations of low-income students and saw students’ test scores jump.”</w:t>
      </w:r>
    </w:p>
    <w:p w:rsidR="0069100F" w:rsidRPr="008B6E13" w:rsidRDefault="00126772" w:rsidP="00CA4A8B">
      <w:pPr>
        <w:pStyle w:val="ListParagraph"/>
        <w:widowControl w:val="0"/>
        <w:numPr>
          <w:ilvl w:val="0"/>
          <w:numId w:val="5"/>
        </w:numPr>
        <w:spacing w:after="120" w:line="240" w:lineRule="auto"/>
        <w:rPr>
          <w:rFonts w:ascii="Arial" w:eastAsia="Calibri" w:hAnsi="Arial" w:cs="Arial"/>
        </w:rPr>
      </w:pPr>
      <w:r>
        <w:rPr>
          <w:rFonts w:ascii="Arial" w:eastAsia="Calibri" w:hAnsi="Arial" w:cs="Arial"/>
        </w:rPr>
        <w:t>Low</w:t>
      </w:r>
      <w:r w:rsidR="00304FFA" w:rsidRPr="008B6E13">
        <w:rPr>
          <w:rFonts w:ascii="Arial" w:eastAsia="Calibri" w:hAnsi="Arial" w:cs="Arial"/>
        </w:rPr>
        <w:t xml:space="preserve">-income rural students are an important piece of </w:t>
      </w:r>
      <w:r>
        <w:rPr>
          <w:rFonts w:ascii="Arial" w:eastAsia="Calibri" w:hAnsi="Arial" w:cs="Arial"/>
        </w:rPr>
        <w:t>Iowa’s</w:t>
      </w:r>
      <w:r w:rsidR="00304FFA" w:rsidRPr="008B6E13">
        <w:rPr>
          <w:rFonts w:ascii="Arial" w:eastAsia="Calibri" w:hAnsi="Arial" w:cs="Arial"/>
        </w:rPr>
        <w:t xml:space="preserve"> workforce puzzle, </w:t>
      </w:r>
      <w:r>
        <w:rPr>
          <w:rFonts w:ascii="Arial" w:eastAsia="Calibri" w:hAnsi="Arial" w:cs="Arial"/>
        </w:rPr>
        <w:t xml:space="preserve">will </w:t>
      </w:r>
      <w:r w:rsidR="00304FFA" w:rsidRPr="008B6E13">
        <w:rPr>
          <w:rFonts w:ascii="Arial" w:eastAsia="Calibri" w:hAnsi="Arial" w:cs="Arial"/>
        </w:rPr>
        <w:t xml:space="preserve">stay in Iowa, and will </w:t>
      </w:r>
      <w:r>
        <w:rPr>
          <w:rFonts w:ascii="Arial" w:eastAsia="Calibri" w:hAnsi="Arial" w:cs="Arial"/>
        </w:rPr>
        <w:t xml:space="preserve">either </w:t>
      </w:r>
      <w:r w:rsidR="00304FFA" w:rsidRPr="008B6E13">
        <w:rPr>
          <w:rFonts w:ascii="Arial" w:eastAsia="Calibri" w:hAnsi="Arial" w:cs="Arial"/>
        </w:rPr>
        <w:t>be the backbone of our rural communities’ potential</w:t>
      </w:r>
      <w:r>
        <w:rPr>
          <w:rFonts w:ascii="Arial" w:eastAsia="Calibri" w:hAnsi="Arial" w:cs="Arial"/>
        </w:rPr>
        <w:t xml:space="preserve"> or a drain on future resources.</w:t>
      </w:r>
    </w:p>
    <w:p w:rsidR="00651A15" w:rsidRPr="008B6E13" w:rsidRDefault="00B741B4" w:rsidP="00790A5F">
      <w:pPr>
        <w:spacing w:after="240" w:line="240" w:lineRule="auto"/>
        <w:rPr>
          <w:rFonts w:ascii="Arial" w:eastAsia="Calibri" w:hAnsi="Arial" w:cs="Arial"/>
          <w:color w:val="000000" w:themeColor="text1"/>
        </w:rPr>
      </w:pPr>
      <w:r>
        <w:rPr>
          <w:bCs/>
          <w:noProof/>
          <w:sz w:val="24"/>
          <w:szCs w:val="24"/>
        </w:rPr>
        <mc:AlternateContent>
          <mc:Choice Requires="wps">
            <w:drawing>
              <wp:anchor distT="0" distB="0" distL="114300" distR="114300" simplePos="0" relativeHeight="251660288" behindDoc="0" locked="0" layoutInCell="1" allowOverlap="1" wp14:anchorId="0BD0B38B" wp14:editId="60848382">
                <wp:simplePos x="0" y="0"/>
                <wp:positionH relativeFrom="column">
                  <wp:posOffset>3928110</wp:posOffset>
                </wp:positionH>
                <wp:positionV relativeFrom="paragraph">
                  <wp:posOffset>1447800</wp:posOffset>
                </wp:positionV>
                <wp:extent cx="2720340" cy="46101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B741B4" w:rsidRPr="00F67D45" w:rsidRDefault="00B741B4" w:rsidP="00B741B4">
                            <w:pPr>
                              <w:rPr>
                                <w:sz w:val="18"/>
                              </w:rPr>
                            </w:pPr>
                            <w:r w:rsidRPr="00F67D45">
                              <w:rPr>
                                <w:sz w:val="18"/>
                              </w:rPr>
                              <w:t xml:space="preserve">Margaret Buckton, RSAI Professional Advocate </w:t>
                            </w:r>
                            <w:hyperlink r:id="rId10"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D0B38B" id="_x0000_t202" coordsize="21600,21600" o:spt="202" path="m,l,21600r21600,l21600,xe">
                <v:stroke joinstyle="miter"/>
                <v:path gradientshapeok="t" o:connecttype="rect"/>
              </v:shapetype>
              <v:shape id="Text Box 1" o:spid="_x0000_s1026" type="#_x0000_t202" style="position:absolute;margin-left:309.3pt;margin-top:114pt;width:214.2pt;height:3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" fillcolor="white [3201]" stroked="f" strokeweight=".5pt">
                <v:textbox>
                  <w:txbxContent>
                    <w:p w:rsidR="00B741B4" w:rsidRPr="00F67D45" w:rsidRDefault="00B741B4" w:rsidP="00B741B4">
                      <w:pPr>
                        <w:rPr>
                          <w:sz w:val="18"/>
                        </w:rPr>
                      </w:pPr>
                      <w:r w:rsidRPr="00F67D45">
                        <w:rPr>
                          <w:sz w:val="18"/>
                        </w:rPr>
                        <w:t xml:space="preserve">Margaret Buckton, RSAI Professional Advocate </w:t>
                      </w:r>
                      <w:hyperlink r:id="rId11" w:history="1">
                        <w:r w:rsidRPr="004D355F">
                          <w:rPr>
                            <w:rStyle w:val="Hyperlink"/>
                            <w:sz w:val="18"/>
                          </w:rPr>
                          <w:t>margaret@iowaschoolfinance.com</w:t>
                        </w:r>
                      </w:hyperlink>
                      <w:r>
                        <w:rPr>
                          <w:sz w:val="18"/>
                        </w:rPr>
                        <w:t>, (515) 251-5970</w:t>
                      </w:r>
                    </w:p>
                  </w:txbxContent>
                </v:textbox>
              </v:shape>
            </w:pict>
          </mc:Fallback>
        </mc:AlternateContent>
      </w:r>
      <w:r w:rsidR="003C71F2" w:rsidRPr="008B6E13">
        <w:rPr>
          <w:rFonts w:ascii="Arial" w:eastAsia="Calibri" w:hAnsi="Arial" w:cs="Arial"/>
        </w:rPr>
        <w:t xml:space="preserve">RSAI calls on the Iowa Legislature </w:t>
      </w:r>
      <w:r w:rsidR="00A54A21">
        <w:rPr>
          <w:rFonts w:ascii="Arial" w:eastAsia="Calibri" w:hAnsi="Arial" w:cs="Arial"/>
        </w:rPr>
        <w:t>to provide</w:t>
      </w:r>
      <w:r w:rsidR="008B6E13" w:rsidRPr="008B6E13">
        <w:rPr>
          <w:rFonts w:ascii="Arial" w:eastAsia="Calibri" w:hAnsi="Arial" w:cs="Arial"/>
        </w:rPr>
        <w:t xml:space="preserve"> </w:t>
      </w:r>
      <w:r w:rsidR="008B6E13" w:rsidRPr="008B6E13">
        <w:rPr>
          <w:rFonts w:ascii="Arial" w:eastAsia="Times New Roman" w:hAnsi="Arial" w:cs="Arial"/>
          <w:b/>
          <w:bCs/>
          <w:color w:val="000000"/>
        </w:rPr>
        <w:t xml:space="preserve">Opportunity Equity for </w:t>
      </w:r>
      <w:r w:rsidR="00A54A21">
        <w:rPr>
          <w:rFonts w:ascii="Arial" w:eastAsia="Times New Roman" w:hAnsi="Arial" w:cs="Arial"/>
          <w:b/>
          <w:bCs/>
          <w:color w:val="000000"/>
        </w:rPr>
        <w:t>High-Poverty Students</w:t>
      </w:r>
      <w:r w:rsidR="008B6E13" w:rsidRPr="008B6E13">
        <w:rPr>
          <w:rFonts w:ascii="Arial" w:eastAsia="Times New Roman" w:hAnsi="Arial" w:cs="Arial"/>
          <w:b/>
          <w:bCs/>
          <w:color w:val="000000"/>
        </w:rPr>
        <w:t>:</w:t>
      </w:r>
      <w:r w:rsidR="00AB581E">
        <w:rPr>
          <w:rFonts w:ascii="Arial" w:eastAsia="Times New Roman" w:hAnsi="Arial" w:cs="Arial"/>
          <w:color w:val="000000"/>
        </w:rPr>
        <w:t xml:space="preserve">  </w:t>
      </w:r>
      <w:r w:rsidR="008B6E13" w:rsidRPr="008B6E13">
        <w:rPr>
          <w:rFonts w:ascii="Arial" w:eastAsia="Times New Roman" w:hAnsi="Arial" w:cs="Arial"/>
          <w:color w:val="000000"/>
        </w:rPr>
        <w:t xml:space="preserve">RSAI supports resources for at-risk students. </w:t>
      </w:r>
      <w:r w:rsidR="00AB581E">
        <w:rPr>
          <w:rFonts w:ascii="Arial" w:eastAsia="Times New Roman" w:hAnsi="Arial" w:cs="Arial"/>
          <w:color w:val="000000"/>
        </w:rPr>
        <w:t xml:space="preserve"> </w:t>
      </w:r>
      <w:r w:rsidR="008B6E13" w:rsidRPr="008B6E13">
        <w:rPr>
          <w:rFonts w:ascii="Arial" w:eastAsia="Times New Roman" w:hAnsi="Arial" w:cs="Arial"/>
          <w:color w:val="000000"/>
        </w:rPr>
        <w:t xml:space="preserve">Resources should be based on need, such as the percentage of students eligible for Free and Reduced Price Lunch (FRPL), in addition to enrollment of the district. </w:t>
      </w:r>
      <w:r w:rsidR="00AB581E">
        <w:rPr>
          <w:rFonts w:ascii="Arial" w:eastAsia="Times New Roman" w:hAnsi="Arial" w:cs="Arial"/>
          <w:color w:val="000000"/>
        </w:rPr>
        <w:t xml:space="preserve"> </w:t>
      </w:r>
      <w:r w:rsidR="008B6E13" w:rsidRPr="008B6E13">
        <w:rPr>
          <w:rFonts w:ascii="Arial" w:eastAsia="Times New Roman" w:hAnsi="Arial" w:cs="Arial"/>
          <w:color w:val="000000"/>
        </w:rPr>
        <w:t xml:space="preserve">The current disparity in dropout prevention capacity, (some districts held to 2.5% and others up to 5% of regular program district cost) is arbitrary, based on history no longer relevant to supporting student needs. </w:t>
      </w:r>
      <w:r w:rsidR="00AB581E">
        <w:rPr>
          <w:rFonts w:ascii="Arial" w:eastAsia="Times New Roman" w:hAnsi="Arial" w:cs="Arial"/>
          <w:color w:val="000000"/>
        </w:rPr>
        <w:t xml:space="preserve"> </w:t>
      </w:r>
      <w:r w:rsidR="008B6E13" w:rsidRPr="008B6E13">
        <w:rPr>
          <w:rFonts w:ascii="Arial" w:eastAsia="Times New Roman" w:hAnsi="Arial" w:cs="Arial"/>
          <w:color w:val="000000"/>
        </w:rPr>
        <w:t xml:space="preserve">All school boards should be able to realize the full 5% dropout prevention funding. </w:t>
      </w:r>
      <w:r w:rsidR="00AB581E">
        <w:rPr>
          <w:rFonts w:ascii="Arial" w:eastAsia="Times New Roman" w:hAnsi="Arial" w:cs="Arial"/>
          <w:color w:val="000000"/>
        </w:rPr>
        <w:t xml:space="preserve"> </w:t>
      </w:r>
      <w:r w:rsidR="008B6E13" w:rsidRPr="008B6E13">
        <w:rPr>
          <w:rFonts w:ascii="Arial" w:eastAsia="Times New Roman" w:hAnsi="Arial" w:cs="Arial"/>
          <w:color w:val="000000"/>
        </w:rPr>
        <w:t>The formula must further recognize the disproportionate cost of providing equal educational opportunities to low-income students. School districts should be granted spending authority for FRPL eligible students’ fees mandated to be waived by state and federal law</w:t>
      </w:r>
      <w:r w:rsidR="00126772">
        <w:rPr>
          <w:rFonts w:ascii="Arial" w:eastAsia="Times New Roman" w:hAnsi="Arial" w:cs="Arial"/>
          <w:color w:val="000000"/>
        </w:rPr>
        <w:t>.</w:t>
      </w:r>
    </w:p>
    <w:sectPr w:rsidR="00651A15" w:rsidRPr="008B6E13" w:rsidSect="008B6E13">
      <w:headerReference w:type="default" r:id="rId12"/>
      <w:pgSz w:w="12240" w:h="15840"/>
      <w:pgMar w:top="720" w:right="90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396" w:rsidRDefault="00013396" w:rsidP="00636F64">
      <w:pPr>
        <w:spacing w:after="0" w:line="240" w:lineRule="auto"/>
      </w:pPr>
      <w:r>
        <w:separator/>
      </w:r>
    </w:p>
  </w:endnote>
  <w:endnote w:type="continuationSeparator" w:id="0">
    <w:p w:rsidR="00013396" w:rsidRDefault="00013396"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396" w:rsidRDefault="00013396" w:rsidP="00636F64">
      <w:pPr>
        <w:spacing w:after="0" w:line="240" w:lineRule="auto"/>
      </w:pPr>
      <w:r>
        <w:separator/>
      </w:r>
    </w:p>
  </w:footnote>
  <w:footnote w:type="continuationSeparator" w:id="0">
    <w:p w:rsidR="00013396" w:rsidRDefault="00013396"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2FC1"/>
    <w:multiLevelType w:val="hybridMultilevel"/>
    <w:tmpl w:val="56905DFE"/>
    <w:lvl w:ilvl="0" w:tplc="35D45E44">
      <w:start w:val="1"/>
      <w:numFmt w:val="bullet"/>
      <w:lvlText w:val="•"/>
      <w:lvlJc w:val="left"/>
      <w:pPr>
        <w:tabs>
          <w:tab w:val="num" w:pos="720"/>
        </w:tabs>
        <w:ind w:left="720" w:hanging="360"/>
      </w:pPr>
      <w:rPr>
        <w:rFonts w:ascii="Arial" w:hAnsi="Arial" w:hint="default"/>
      </w:rPr>
    </w:lvl>
    <w:lvl w:ilvl="1" w:tplc="A93C174E" w:tentative="1">
      <w:start w:val="1"/>
      <w:numFmt w:val="bullet"/>
      <w:lvlText w:val="•"/>
      <w:lvlJc w:val="left"/>
      <w:pPr>
        <w:tabs>
          <w:tab w:val="num" w:pos="1440"/>
        </w:tabs>
        <w:ind w:left="1440" w:hanging="360"/>
      </w:pPr>
      <w:rPr>
        <w:rFonts w:ascii="Arial" w:hAnsi="Arial" w:hint="default"/>
      </w:rPr>
    </w:lvl>
    <w:lvl w:ilvl="2" w:tplc="679660AC" w:tentative="1">
      <w:start w:val="1"/>
      <w:numFmt w:val="bullet"/>
      <w:lvlText w:val="•"/>
      <w:lvlJc w:val="left"/>
      <w:pPr>
        <w:tabs>
          <w:tab w:val="num" w:pos="2160"/>
        </w:tabs>
        <w:ind w:left="2160" w:hanging="360"/>
      </w:pPr>
      <w:rPr>
        <w:rFonts w:ascii="Arial" w:hAnsi="Arial" w:hint="default"/>
      </w:rPr>
    </w:lvl>
    <w:lvl w:ilvl="3" w:tplc="FB2C572A" w:tentative="1">
      <w:start w:val="1"/>
      <w:numFmt w:val="bullet"/>
      <w:lvlText w:val="•"/>
      <w:lvlJc w:val="left"/>
      <w:pPr>
        <w:tabs>
          <w:tab w:val="num" w:pos="2880"/>
        </w:tabs>
        <w:ind w:left="2880" w:hanging="360"/>
      </w:pPr>
      <w:rPr>
        <w:rFonts w:ascii="Arial" w:hAnsi="Arial" w:hint="default"/>
      </w:rPr>
    </w:lvl>
    <w:lvl w:ilvl="4" w:tplc="3E1ABE8C" w:tentative="1">
      <w:start w:val="1"/>
      <w:numFmt w:val="bullet"/>
      <w:lvlText w:val="•"/>
      <w:lvlJc w:val="left"/>
      <w:pPr>
        <w:tabs>
          <w:tab w:val="num" w:pos="3600"/>
        </w:tabs>
        <w:ind w:left="3600" w:hanging="360"/>
      </w:pPr>
      <w:rPr>
        <w:rFonts w:ascii="Arial" w:hAnsi="Arial" w:hint="default"/>
      </w:rPr>
    </w:lvl>
    <w:lvl w:ilvl="5" w:tplc="8E282174" w:tentative="1">
      <w:start w:val="1"/>
      <w:numFmt w:val="bullet"/>
      <w:lvlText w:val="•"/>
      <w:lvlJc w:val="left"/>
      <w:pPr>
        <w:tabs>
          <w:tab w:val="num" w:pos="4320"/>
        </w:tabs>
        <w:ind w:left="4320" w:hanging="360"/>
      </w:pPr>
      <w:rPr>
        <w:rFonts w:ascii="Arial" w:hAnsi="Arial" w:hint="default"/>
      </w:rPr>
    </w:lvl>
    <w:lvl w:ilvl="6" w:tplc="AE405E96" w:tentative="1">
      <w:start w:val="1"/>
      <w:numFmt w:val="bullet"/>
      <w:lvlText w:val="•"/>
      <w:lvlJc w:val="left"/>
      <w:pPr>
        <w:tabs>
          <w:tab w:val="num" w:pos="5040"/>
        </w:tabs>
        <w:ind w:left="5040" w:hanging="360"/>
      </w:pPr>
      <w:rPr>
        <w:rFonts w:ascii="Arial" w:hAnsi="Arial" w:hint="default"/>
      </w:rPr>
    </w:lvl>
    <w:lvl w:ilvl="7" w:tplc="1B9806CE" w:tentative="1">
      <w:start w:val="1"/>
      <w:numFmt w:val="bullet"/>
      <w:lvlText w:val="•"/>
      <w:lvlJc w:val="left"/>
      <w:pPr>
        <w:tabs>
          <w:tab w:val="num" w:pos="5760"/>
        </w:tabs>
        <w:ind w:left="5760" w:hanging="360"/>
      </w:pPr>
      <w:rPr>
        <w:rFonts w:ascii="Arial" w:hAnsi="Arial" w:hint="default"/>
      </w:rPr>
    </w:lvl>
    <w:lvl w:ilvl="8" w:tplc="5A748F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CA2E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3396"/>
    <w:rsid w:val="00014532"/>
    <w:rsid w:val="0002090F"/>
    <w:rsid w:val="0002093B"/>
    <w:rsid w:val="00024DDD"/>
    <w:rsid w:val="00027E5E"/>
    <w:rsid w:val="00032CD7"/>
    <w:rsid w:val="000338E4"/>
    <w:rsid w:val="00035ABD"/>
    <w:rsid w:val="0003753F"/>
    <w:rsid w:val="00041BFE"/>
    <w:rsid w:val="000425CA"/>
    <w:rsid w:val="000445D4"/>
    <w:rsid w:val="0005379B"/>
    <w:rsid w:val="00055926"/>
    <w:rsid w:val="00056991"/>
    <w:rsid w:val="00061C17"/>
    <w:rsid w:val="0006224E"/>
    <w:rsid w:val="0008079F"/>
    <w:rsid w:val="00082E61"/>
    <w:rsid w:val="00084388"/>
    <w:rsid w:val="000A6FD3"/>
    <w:rsid w:val="000B2E31"/>
    <w:rsid w:val="000C1879"/>
    <w:rsid w:val="000C58C0"/>
    <w:rsid w:val="000C617F"/>
    <w:rsid w:val="000D48D2"/>
    <w:rsid w:val="000E2481"/>
    <w:rsid w:val="001022AC"/>
    <w:rsid w:val="001026E8"/>
    <w:rsid w:val="00107444"/>
    <w:rsid w:val="00114832"/>
    <w:rsid w:val="00117E4D"/>
    <w:rsid w:val="00126079"/>
    <w:rsid w:val="00126772"/>
    <w:rsid w:val="00127DBD"/>
    <w:rsid w:val="001346A0"/>
    <w:rsid w:val="001357A4"/>
    <w:rsid w:val="00141C99"/>
    <w:rsid w:val="0014231C"/>
    <w:rsid w:val="00145BCC"/>
    <w:rsid w:val="00147F91"/>
    <w:rsid w:val="00147FF0"/>
    <w:rsid w:val="001503AF"/>
    <w:rsid w:val="001644DF"/>
    <w:rsid w:val="0016712D"/>
    <w:rsid w:val="0017186B"/>
    <w:rsid w:val="00187146"/>
    <w:rsid w:val="001B46E2"/>
    <w:rsid w:val="001C69C5"/>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87501"/>
    <w:rsid w:val="00290F1D"/>
    <w:rsid w:val="00295CD0"/>
    <w:rsid w:val="002A305A"/>
    <w:rsid w:val="002A5125"/>
    <w:rsid w:val="002C55E6"/>
    <w:rsid w:val="002C7044"/>
    <w:rsid w:val="002D0F2B"/>
    <w:rsid w:val="002D2BD2"/>
    <w:rsid w:val="002D3D46"/>
    <w:rsid w:val="002D43B3"/>
    <w:rsid w:val="002E304C"/>
    <w:rsid w:val="0030077D"/>
    <w:rsid w:val="00301F15"/>
    <w:rsid w:val="00304FFA"/>
    <w:rsid w:val="003107B3"/>
    <w:rsid w:val="00310AF6"/>
    <w:rsid w:val="00311CE6"/>
    <w:rsid w:val="00316CFF"/>
    <w:rsid w:val="00322B0A"/>
    <w:rsid w:val="003420EB"/>
    <w:rsid w:val="0034576D"/>
    <w:rsid w:val="003473C9"/>
    <w:rsid w:val="00354E4A"/>
    <w:rsid w:val="00361A1E"/>
    <w:rsid w:val="00361B4E"/>
    <w:rsid w:val="003640C6"/>
    <w:rsid w:val="0036770C"/>
    <w:rsid w:val="00382EE6"/>
    <w:rsid w:val="003854F6"/>
    <w:rsid w:val="00390B9F"/>
    <w:rsid w:val="003924BE"/>
    <w:rsid w:val="00394B76"/>
    <w:rsid w:val="003A32A9"/>
    <w:rsid w:val="003A35B2"/>
    <w:rsid w:val="003A5D3F"/>
    <w:rsid w:val="003B29EE"/>
    <w:rsid w:val="003B58BF"/>
    <w:rsid w:val="003C35FE"/>
    <w:rsid w:val="003C71F2"/>
    <w:rsid w:val="003E0459"/>
    <w:rsid w:val="003E2FCC"/>
    <w:rsid w:val="003E68B2"/>
    <w:rsid w:val="003F0098"/>
    <w:rsid w:val="003F20F0"/>
    <w:rsid w:val="003F3273"/>
    <w:rsid w:val="003F50FE"/>
    <w:rsid w:val="00416D91"/>
    <w:rsid w:val="00420F80"/>
    <w:rsid w:val="00435F1B"/>
    <w:rsid w:val="00452934"/>
    <w:rsid w:val="00496686"/>
    <w:rsid w:val="004A1675"/>
    <w:rsid w:val="004A55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2A7F"/>
    <w:rsid w:val="005B6429"/>
    <w:rsid w:val="005C0800"/>
    <w:rsid w:val="005C6EE0"/>
    <w:rsid w:val="005D1953"/>
    <w:rsid w:val="005D44AC"/>
    <w:rsid w:val="005E1478"/>
    <w:rsid w:val="005E4650"/>
    <w:rsid w:val="005E4EA2"/>
    <w:rsid w:val="005E6B19"/>
    <w:rsid w:val="005F0285"/>
    <w:rsid w:val="00614EF5"/>
    <w:rsid w:val="00615F2C"/>
    <w:rsid w:val="006231D1"/>
    <w:rsid w:val="00636F64"/>
    <w:rsid w:val="00642932"/>
    <w:rsid w:val="006455E4"/>
    <w:rsid w:val="006518E5"/>
    <w:rsid w:val="00651A15"/>
    <w:rsid w:val="00654155"/>
    <w:rsid w:val="006548C1"/>
    <w:rsid w:val="0065733F"/>
    <w:rsid w:val="00661BE4"/>
    <w:rsid w:val="00663FF6"/>
    <w:rsid w:val="00664725"/>
    <w:rsid w:val="006668E7"/>
    <w:rsid w:val="00670A11"/>
    <w:rsid w:val="00671AC7"/>
    <w:rsid w:val="00673DE2"/>
    <w:rsid w:val="00682FE2"/>
    <w:rsid w:val="00683073"/>
    <w:rsid w:val="006875AB"/>
    <w:rsid w:val="0069100F"/>
    <w:rsid w:val="006A6E66"/>
    <w:rsid w:val="006A7DD0"/>
    <w:rsid w:val="006C6201"/>
    <w:rsid w:val="006D63CE"/>
    <w:rsid w:val="006F011B"/>
    <w:rsid w:val="007004E2"/>
    <w:rsid w:val="007126E9"/>
    <w:rsid w:val="007535F1"/>
    <w:rsid w:val="00753F4F"/>
    <w:rsid w:val="0075465F"/>
    <w:rsid w:val="0075723A"/>
    <w:rsid w:val="00764D14"/>
    <w:rsid w:val="00772FAD"/>
    <w:rsid w:val="0077341D"/>
    <w:rsid w:val="00790A5F"/>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B4AA4"/>
    <w:rsid w:val="008B6E13"/>
    <w:rsid w:val="008F3693"/>
    <w:rsid w:val="00900395"/>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B3BD8"/>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4A21"/>
    <w:rsid w:val="00A5581E"/>
    <w:rsid w:val="00A630BC"/>
    <w:rsid w:val="00A64BD3"/>
    <w:rsid w:val="00A67AB0"/>
    <w:rsid w:val="00A73A8F"/>
    <w:rsid w:val="00A741FD"/>
    <w:rsid w:val="00A92EFF"/>
    <w:rsid w:val="00AB00C7"/>
    <w:rsid w:val="00AB2759"/>
    <w:rsid w:val="00AB3D72"/>
    <w:rsid w:val="00AB581E"/>
    <w:rsid w:val="00AB69A5"/>
    <w:rsid w:val="00AD5A52"/>
    <w:rsid w:val="00AD6787"/>
    <w:rsid w:val="00AE2330"/>
    <w:rsid w:val="00AE45F6"/>
    <w:rsid w:val="00AE489C"/>
    <w:rsid w:val="00AF53F6"/>
    <w:rsid w:val="00B12727"/>
    <w:rsid w:val="00B33B1B"/>
    <w:rsid w:val="00B41697"/>
    <w:rsid w:val="00B42148"/>
    <w:rsid w:val="00B52F96"/>
    <w:rsid w:val="00B57830"/>
    <w:rsid w:val="00B604F8"/>
    <w:rsid w:val="00B741B4"/>
    <w:rsid w:val="00B7440E"/>
    <w:rsid w:val="00B74A45"/>
    <w:rsid w:val="00B77BA6"/>
    <w:rsid w:val="00B803E8"/>
    <w:rsid w:val="00B82969"/>
    <w:rsid w:val="00BA345E"/>
    <w:rsid w:val="00BA3619"/>
    <w:rsid w:val="00BD153E"/>
    <w:rsid w:val="00BD2B4A"/>
    <w:rsid w:val="00BD5DC3"/>
    <w:rsid w:val="00BE5E78"/>
    <w:rsid w:val="00BE7279"/>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4A8B"/>
    <w:rsid w:val="00CA68C8"/>
    <w:rsid w:val="00CC2CBF"/>
    <w:rsid w:val="00CE04E6"/>
    <w:rsid w:val="00CE7951"/>
    <w:rsid w:val="00D208D1"/>
    <w:rsid w:val="00D20D41"/>
    <w:rsid w:val="00D23F70"/>
    <w:rsid w:val="00D32F52"/>
    <w:rsid w:val="00D34B7D"/>
    <w:rsid w:val="00D375F8"/>
    <w:rsid w:val="00D41F0C"/>
    <w:rsid w:val="00D43093"/>
    <w:rsid w:val="00D46008"/>
    <w:rsid w:val="00D47AA9"/>
    <w:rsid w:val="00D558AC"/>
    <w:rsid w:val="00D67DBB"/>
    <w:rsid w:val="00D77EC5"/>
    <w:rsid w:val="00D8250D"/>
    <w:rsid w:val="00D84846"/>
    <w:rsid w:val="00D9379A"/>
    <w:rsid w:val="00DA1EAA"/>
    <w:rsid w:val="00DD08EC"/>
    <w:rsid w:val="00DD335F"/>
    <w:rsid w:val="00DD69CC"/>
    <w:rsid w:val="00DE4D9F"/>
    <w:rsid w:val="00DE6EE9"/>
    <w:rsid w:val="00DF0DD8"/>
    <w:rsid w:val="00DF7BA9"/>
    <w:rsid w:val="00E00707"/>
    <w:rsid w:val="00E0448B"/>
    <w:rsid w:val="00E07A45"/>
    <w:rsid w:val="00E1125C"/>
    <w:rsid w:val="00E310A1"/>
    <w:rsid w:val="00E40FED"/>
    <w:rsid w:val="00E67A71"/>
    <w:rsid w:val="00E7538C"/>
    <w:rsid w:val="00E92AE9"/>
    <w:rsid w:val="00E94834"/>
    <w:rsid w:val="00E964DB"/>
    <w:rsid w:val="00EA41DB"/>
    <w:rsid w:val="00EB56C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684673597">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1">
          <w:marLeft w:val="547"/>
          <w:marRight w:val="0"/>
          <w:marTop w:val="120"/>
          <w:marBottom w:val="0"/>
          <w:divBdr>
            <w:top w:val="none" w:sz="0" w:space="0" w:color="auto"/>
            <w:left w:val="none" w:sz="0" w:space="0" w:color="auto"/>
            <w:bottom w:val="none" w:sz="0" w:space="0" w:color="auto"/>
            <w:right w:val="none" w:sz="0" w:space="0" w:color="auto"/>
          </w:divBdr>
        </w:div>
        <w:div w:id="193766646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org/sites/default/files/downloads/report/AIR_NV_Funding_Study_Sept2012_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et@iowaschoolfinance.com" TargetMode="External"/><Relationship Id="rId5" Type="http://schemas.openxmlformats.org/officeDocument/2006/relationships/footnotes" Target="footnotes.xml"/><Relationship Id="rId10" Type="http://schemas.openxmlformats.org/officeDocument/2006/relationships/hyperlink" Target="mailto:margaret@iowaschoolfinance.com" TargetMode="External"/><Relationship Id="rId4" Type="http://schemas.openxmlformats.org/officeDocument/2006/relationships/webSettings" Target="webSettings.xml"/><Relationship Id="rId9" Type="http://schemas.openxmlformats.org/officeDocument/2006/relationships/hyperlink" Target="https://www.edweek.org/ew/articles/2019/06/05/student-outcomes-does-more-money-really-matter.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6</cp:revision>
  <cp:lastPrinted>2014-07-07T14:16:00Z</cp:lastPrinted>
  <dcterms:created xsi:type="dcterms:W3CDTF">2019-10-11T16:08:00Z</dcterms:created>
  <dcterms:modified xsi:type="dcterms:W3CDTF">2019-10-21T18:14:00Z</dcterms:modified>
</cp:coreProperties>
</file>