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7E" w:rsidRP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VILLAGE AT MAGNOLIA – JANUARY 2018</w:t>
      </w:r>
    </w:p>
    <w:tbl>
      <w:tblPr>
        <w:tblW w:w="6517" w:type="dxa"/>
        <w:tblInd w:w="93" w:type="dxa"/>
        <w:tblLook w:val="04A0" w:firstRow="1" w:lastRow="0" w:firstColumn="1" w:lastColumn="0" w:noHBand="0" w:noVBand="1"/>
      </w:tblPr>
      <w:tblGrid>
        <w:gridCol w:w="3297"/>
        <w:gridCol w:w="3220"/>
      </w:tblGrid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8347E">
              <w:rPr>
                <w:rFonts w:ascii="Arial" w:eastAsia="Times New Roman" w:hAnsi="Arial" w:cs="Arial"/>
                <w:b/>
                <w:bCs/>
              </w:rPr>
              <w:t>$73,471.11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$11.69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$694.39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$268.74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$715.00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$94.97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WEB SITE RENEWAL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$206.20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HOA MEETING RESERVATION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FF0000"/>
              </w:rPr>
              <w:t>$105.00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0000FF"/>
              </w:rPr>
              <w:t>$3.47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0000FF"/>
              </w:rPr>
              <w:t>$1,132.00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sz w:val="20"/>
                <w:szCs w:val="20"/>
              </w:rPr>
              <w:t>JEFF RILEY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88347E">
              <w:rPr>
                <w:rFonts w:ascii="Arial" w:eastAsia="Times New Roman" w:hAnsi="Arial" w:cs="Arial"/>
                <w:b/>
                <w:bCs/>
                <w:color w:val="0000FF"/>
              </w:rPr>
              <w:t>$1,000.00</w:t>
            </w: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8347E" w:rsidRPr="0088347E" w:rsidTr="0088347E">
        <w:trPr>
          <w:trHeight w:val="31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88347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47E" w:rsidRPr="0088347E" w:rsidRDefault="0088347E" w:rsidP="0088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8347E">
              <w:rPr>
                <w:rFonts w:ascii="Arial" w:eastAsia="Times New Roman" w:hAnsi="Arial" w:cs="Arial"/>
                <w:b/>
                <w:bCs/>
              </w:rPr>
              <w:t>$72,910.59</w:t>
            </w:r>
          </w:p>
        </w:tc>
      </w:tr>
    </w:tbl>
    <w:p w:rsidR="0046224F" w:rsidRDefault="0046224F"/>
    <w:sectPr w:rsidR="0046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46224F"/>
    <w:rsid w:val="008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1</cp:revision>
  <dcterms:created xsi:type="dcterms:W3CDTF">2019-01-10T01:14:00Z</dcterms:created>
  <dcterms:modified xsi:type="dcterms:W3CDTF">2019-01-10T01:18:00Z</dcterms:modified>
</cp:coreProperties>
</file>