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20EB1" w14:textId="77777777" w:rsidR="00956EEC" w:rsidRDefault="00956EEC" w:rsidP="00956EEC">
      <w:pPr>
        <w:spacing w:after="0"/>
        <w:rPr>
          <w:rFonts w:ascii="Arial" w:hAnsi="Arial" w:cs="Arial"/>
          <w:b/>
          <w:sz w:val="20"/>
        </w:rPr>
      </w:pPr>
      <w:r>
        <w:rPr>
          <w:rFonts w:ascii="Arial" w:hAnsi="Arial" w:cs="Arial"/>
          <w:b/>
          <w:sz w:val="20"/>
        </w:rPr>
        <w:t>Acceptance criteria</w:t>
      </w:r>
    </w:p>
    <w:p w14:paraId="6CBA7B62" w14:textId="1933525A" w:rsidR="00956EEC" w:rsidRDefault="00956EEC" w:rsidP="00956EEC">
      <w:pPr>
        <w:numPr>
          <w:ilvl w:val="0"/>
          <w:numId w:val="1"/>
        </w:numPr>
        <w:spacing w:before="120" w:after="0"/>
        <w:ind w:left="714" w:hanging="357"/>
        <w:rPr>
          <w:rFonts w:ascii="Arial" w:hAnsi="Arial" w:cs="Arial"/>
          <w:sz w:val="20"/>
          <w:lang w:val="en-GB"/>
        </w:rPr>
      </w:pPr>
      <w:r>
        <w:rPr>
          <w:rFonts w:ascii="Arial" w:hAnsi="Arial" w:cs="Arial"/>
          <w:sz w:val="20"/>
          <w:lang w:val="en-GB"/>
        </w:rPr>
        <w:t>Registered with a Birmingham GP</w:t>
      </w:r>
      <w:r w:rsidR="009A3081">
        <w:rPr>
          <w:rFonts w:ascii="Arial" w:hAnsi="Arial" w:cs="Arial"/>
          <w:sz w:val="20"/>
          <w:lang w:val="en-GB"/>
        </w:rPr>
        <w:t>.</w:t>
      </w:r>
    </w:p>
    <w:p w14:paraId="491C4BB2" w14:textId="379CE614" w:rsidR="00956EEC" w:rsidRDefault="00956EEC" w:rsidP="00956EEC">
      <w:pPr>
        <w:numPr>
          <w:ilvl w:val="0"/>
          <w:numId w:val="1"/>
        </w:numPr>
        <w:spacing w:before="120" w:after="0"/>
        <w:ind w:left="714" w:hanging="357"/>
        <w:rPr>
          <w:rFonts w:ascii="Arial" w:hAnsi="Arial" w:cs="Arial"/>
          <w:sz w:val="20"/>
          <w:lang w:val="en-GB"/>
        </w:rPr>
      </w:pPr>
      <w:r>
        <w:rPr>
          <w:rFonts w:ascii="Arial" w:hAnsi="Arial" w:cs="Arial"/>
          <w:sz w:val="20"/>
          <w:lang w:val="en-GB"/>
        </w:rPr>
        <w:t>Have a discharge date of within 2 weeks of the date of the referral and a discharge to their home; for service users resident in a Nursing/Residential Home they must have functional goals that are achievable within a Nursing/Residential Home environment</w:t>
      </w:r>
      <w:r w:rsidR="009A3081">
        <w:rPr>
          <w:rFonts w:ascii="Arial" w:hAnsi="Arial" w:cs="Arial"/>
          <w:sz w:val="20"/>
          <w:lang w:val="en-GB"/>
        </w:rPr>
        <w:t>.</w:t>
      </w:r>
    </w:p>
    <w:p w14:paraId="5D90D77C" w14:textId="2583428D" w:rsidR="00956EEC" w:rsidRDefault="00956EEC" w:rsidP="00956EEC">
      <w:pPr>
        <w:numPr>
          <w:ilvl w:val="0"/>
          <w:numId w:val="1"/>
        </w:numPr>
        <w:spacing w:before="120" w:after="0"/>
        <w:ind w:left="714" w:hanging="357"/>
        <w:rPr>
          <w:rFonts w:ascii="Arial" w:hAnsi="Arial" w:cs="Arial"/>
          <w:sz w:val="20"/>
          <w:lang w:val="en-GB"/>
        </w:rPr>
      </w:pPr>
      <w:r>
        <w:rPr>
          <w:rFonts w:ascii="Arial" w:hAnsi="Arial" w:cs="Arial"/>
          <w:sz w:val="20"/>
          <w:lang w:val="en-GB"/>
        </w:rPr>
        <w:t xml:space="preserve">Require the interdisciplinary rehabilitation from two or more therapy </w:t>
      </w:r>
      <w:r w:rsidR="009A3081">
        <w:rPr>
          <w:rFonts w:ascii="Arial" w:hAnsi="Arial" w:cs="Arial"/>
          <w:sz w:val="20"/>
          <w:lang w:val="en-GB"/>
        </w:rPr>
        <w:t>disciplines.</w:t>
      </w:r>
    </w:p>
    <w:p w14:paraId="18A79880" w14:textId="7295210A" w:rsidR="00956EEC" w:rsidRDefault="00956EEC" w:rsidP="00956EEC">
      <w:pPr>
        <w:numPr>
          <w:ilvl w:val="0"/>
          <w:numId w:val="1"/>
        </w:numPr>
        <w:spacing w:before="120" w:after="0"/>
        <w:ind w:left="714" w:hanging="357"/>
        <w:rPr>
          <w:rFonts w:ascii="Arial" w:hAnsi="Arial" w:cs="Arial"/>
          <w:sz w:val="20"/>
          <w:lang w:val="en-GB"/>
        </w:rPr>
      </w:pPr>
      <w:r>
        <w:rPr>
          <w:rFonts w:ascii="Arial" w:hAnsi="Arial" w:cs="Arial"/>
          <w:sz w:val="20"/>
          <w:lang w:val="en-GB"/>
        </w:rPr>
        <w:t xml:space="preserve">Have an acute neurological condition/disability or new/recent episode that would benefit from </w:t>
      </w:r>
      <w:r w:rsidR="009A3081">
        <w:rPr>
          <w:rFonts w:ascii="Arial" w:hAnsi="Arial" w:cs="Arial"/>
          <w:sz w:val="20"/>
          <w:lang w:val="en-GB"/>
        </w:rPr>
        <w:t>rehabilitation.</w:t>
      </w:r>
      <w:r>
        <w:rPr>
          <w:rFonts w:ascii="Arial" w:hAnsi="Arial" w:cs="Arial"/>
          <w:sz w:val="20"/>
          <w:lang w:val="en-GB"/>
        </w:rPr>
        <w:t xml:space="preserve"> </w:t>
      </w:r>
    </w:p>
    <w:p w14:paraId="709221EA" w14:textId="7C20B695" w:rsidR="00956EEC" w:rsidRDefault="00956EEC" w:rsidP="00956EEC">
      <w:pPr>
        <w:numPr>
          <w:ilvl w:val="0"/>
          <w:numId w:val="1"/>
        </w:numPr>
        <w:spacing w:before="120" w:after="0"/>
        <w:ind w:left="714" w:hanging="357"/>
        <w:rPr>
          <w:rFonts w:ascii="Arial" w:hAnsi="Arial" w:cs="Arial"/>
          <w:sz w:val="20"/>
          <w:lang w:val="en-GB"/>
        </w:rPr>
      </w:pPr>
      <w:r>
        <w:rPr>
          <w:rFonts w:ascii="Arial" w:hAnsi="Arial" w:cs="Arial"/>
          <w:sz w:val="20"/>
          <w:lang w:val="en-GB"/>
        </w:rPr>
        <w:t>Aged 16 and over</w:t>
      </w:r>
      <w:r w:rsidR="009A3081">
        <w:rPr>
          <w:rFonts w:ascii="Arial" w:hAnsi="Arial" w:cs="Arial"/>
          <w:sz w:val="20"/>
          <w:lang w:val="en-GB"/>
        </w:rPr>
        <w:t>.</w:t>
      </w:r>
    </w:p>
    <w:p w14:paraId="312C0FC9" w14:textId="39794389" w:rsidR="00956EEC" w:rsidRDefault="00956EEC" w:rsidP="00956EEC">
      <w:pPr>
        <w:numPr>
          <w:ilvl w:val="0"/>
          <w:numId w:val="1"/>
        </w:numPr>
        <w:spacing w:before="120" w:after="0"/>
        <w:ind w:left="714" w:hanging="357"/>
        <w:rPr>
          <w:rFonts w:ascii="Arial" w:hAnsi="Arial" w:cs="Arial"/>
          <w:sz w:val="20"/>
          <w:lang w:val="en-GB"/>
        </w:rPr>
      </w:pPr>
      <w:r>
        <w:rPr>
          <w:rFonts w:ascii="Arial" w:hAnsi="Arial" w:cs="Arial"/>
          <w:sz w:val="20"/>
          <w:lang w:val="en-GB"/>
        </w:rPr>
        <w:t xml:space="preserve">Service user is aware of referral and agrees to actively engage in the rehabilitation </w:t>
      </w:r>
      <w:r w:rsidR="009A3081">
        <w:rPr>
          <w:rFonts w:ascii="Arial" w:hAnsi="Arial" w:cs="Arial"/>
          <w:sz w:val="20"/>
          <w:lang w:val="en-GB"/>
        </w:rPr>
        <w:t>programme.</w:t>
      </w:r>
    </w:p>
    <w:p w14:paraId="02665C94" w14:textId="77777777" w:rsidR="00956EEC" w:rsidRDefault="00956EEC" w:rsidP="00956EEC">
      <w:pPr>
        <w:numPr>
          <w:ilvl w:val="0"/>
          <w:numId w:val="1"/>
        </w:numPr>
        <w:spacing w:before="120" w:after="0"/>
        <w:ind w:left="714" w:hanging="357"/>
        <w:rPr>
          <w:rFonts w:ascii="Arial" w:hAnsi="Arial" w:cs="Arial"/>
          <w:sz w:val="20"/>
          <w:lang w:val="en-GB"/>
        </w:rPr>
      </w:pPr>
      <w:r>
        <w:rPr>
          <w:rFonts w:ascii="Arial" w:hAnsi="Arial" w:cs="Arial"/>
          <w:sz w:val="20"/>
          <w:lang w:val="en-GB"/>
        </w:rPr>
        <w:t>Has identified functional goals which are transferrable to their everyday environment and can be achieved within a time limited period of intervention of approximately 10 weeks according to need.</w:t>
      </w:r>
    </w:p>
    <w:p w14:paraId="2BFA42FA" w14:textId="77777777" w:rsidR="00956EEC" w:rsidRDefault="00956EEC" w:rsidP="00956EEC">
      <w:pPr>
        <w:spacing w:after="0"/>
        <w:rPr>
          <w:rFonts w:ascii="Arial" w:hAnsi="Arial" w:cs="Arial"/>
          <w:sz w:val="20"/>
          <w:lang w:val="en-GB"/>
        </w:rPr>
      </w:pPr>
    </w:p>
    <w:p w14:paraId="3AE846EA" w14:textId="77777777" w:rsidR="00956EEC" w:rsidRDefault="00956EEC" w:rsidP="00956EEC">
      <w:pPr>
        <w:spacing w:after="0"/>
        <w:rPr>
          <w:rFonts w:ascii="Arial" w:hAnsi="Arial" w:cs="Arial"/>
          <w:b/>
          <w:sz w:val="20"/>
          <w:lang w:val="en-GB"/>
        </w:rPr>
      </w:pPr>
      <w:r>
        <w:rPr>
          <w:rFonts w:ascii="Arial" w:hAnsi="Arial" w:cs="Arial"/>
          <w:b/>
          <w:sz w:val="20"/>
          <w:lang w:val="en-GB"/>
        </w:rPr>
        <w:t>Exclusion criteria</w:t>
      </w:r>
    </w:p>
    <w:p w14:paraId="7BF56488" w14:textId="780EF1FF" w:rsidR="00956EEC" w:rsidRDefault="00956EEC" w:rsidP="00956EEC">
      <w:pPr>
        <w:numPr>
          <w:ilvl w:val="0"/>
          <w:numId w:val="1"/>
        </w:numPr>
        <w:spacing w:before="120" w:after="0"/>
        <w:ind w:left="714" w:hanging="357"/>
        <w:rPr>
          <w:rFonts w:ascii="Arial" w:hAnsi="Arial" w:cs="Arial"/>
          <w:sz w:val="20"/>
          <w:lang w:val="en-GB"/>
        </w:rPr>
      </w:pPr>
      <w:r>
        <w:rPr>
          <w:rFonts w:ascii="Arial" w:hAnsi="Arial" w:cs="Arial"/>
          <w:sz w:val="20"/>
          <w:lang w:val="en-GB"/>
        </w:rPr>
        <w:t>Service user who are deemed to be medically unstable having uncontrolled: pain, diabetes, cardiac conditions, epilepsy or a condition that may be exacerbated by rehabilitation and is compliant with prescribed medication</w:t>
      </w:r>
      <w:r w:rsidR="009A3081">
        <w:rPr>
          <w:rFonts w:ascii="Arial" w:hAnsi="Arial" w:cs="Arial"/>
          <w:sz w:val="20"/>
          <w:lang w:val="en-GB"/>
        </w:rPr>
        <w:t>.</w:t>
      </w:r>
    </w:p>
    <w:p w14:paraId="101EBA55" w14:textId="1843B1F6" w:rsidR="00956EEC" w:rsidRDefault="00956EEC" w:rsidP="00956EEC">
      <w:pPr>
        <w:numPr>
          <w:ilvl w:val="0"/>
          <w:numId w:val="1"/>
        </w:numPr>
        <w:spacing w:before="120" w:after="0"/>
        <w:ind w:left="714" w:hanging="357"/>
        <w:rPr>
          <w:rFonts w:ascii="Arial" w:hAnsi="Arial" w:cs="Arial"/>
          <w:sz w:val="20"/>
          <w:lang w:val="en-GB"/>
        </w:rPr>
      </w:pPr>
      <w:r>
        <w:rPr>
          <w:rFonts w:ascii="Arial" w:hAnsi="Arial" w:cs="Arial"/>
          <w:sz w:val="20"/>
          <w:lang w:val="en-GB"/>
        </w:rPr>
        <w:t>Service users with alcohol or drug related issues that are not being supported by an appropriate service for their management or do not agree to moderate alcohol intake to take part in rehabilitation</w:t>
      </w:r>
      <w:r w:rsidR="009A3081">
        <w:rPr>
          <w:rFonts w:ascii="Arial" w:hAnsi="Arial" w:cs="Arial"/>
          <w:sz w:val="20"/>
          <w:lang w:val="en-GB"/>
        </w:rPr>
        <w:t>.</w:t>
      </w:r>
    </w:p>
    <w:p w14:paraId="05DF0B5A" w14:textId="7066B659" w:rsidR="00956EEC" w:rsidRDefault="00956EEC" w:rsidP="00956EEC">
      <w:pPr>
        <w:numPr>
          <w:ilvl w:val="0"/>
          <w:numId w:val="1"/>
        </w:numPr>
        <w:spacing w:before="120" w:after="0"/>
        <w:ind w:left="714" w:hanging="357"/>
        <w:rPr>
          <w:rFonts w:ascii="Arial" w:hAnsi="Arial" w:cs="Arial"/>
          <w:sz w:val="20"/>
          <w:lang w:val="en-GB"/>
        </w:rPr>
      </w:pPr>
      <w:r>
        <w:rPr>
          <w:rFonts w:ascii="Arial" w:hAnsi="Arial" w:cs="Arial"/>
          <w:sz w:val="20"/>
          <w:lang w:val="en-GB"/>
        </w:rPr>
        <w:t>Maintenance therapy, “monitoring”, ordering/teaching the use of equipment, handing over to carers, assessments – none of these are rehabilitation goals</w:t>
      </w:r>
      <w:r w:rsidR="009A3081">
        <w:rPr>
          <w:rFonts w:ascii="Arial" w:hAnsi="Arial" w:cs="Arial"/>
          <w:sz w:val="20"/>
          <w:lang w:val="en-GB"/>
        </w:rPr>
        <w:t>.</w:t>
      </w:r>
    </w:p>
    <w:p w14:paraId="58C31F36" w14:textId="2F6E7822" w:rsidR="00956EEC" w:rsidRDefault="00956EEC" w:rsidP="00956EEC">
      <w:pPr>
        <w:numPr>
          <w:ilvl w:val="0"/>
          <w:numId w:val="1"/>
        </w:numPr>
        <w:spacing w:before="120" w:after="0"/>
        <w:ind w:left="714" w:hanging="357"/>
        <w:rPr>
          <w:rFonts w:ascii="Arial" w:hAnsi="Arial" w:cs="Arial"/>
          <w:sz w:val="20"/>
          <w:lang w:val="en-GB"/>
        </w:rPr>
      </w:pPr>
      <w:r>
        <w:rPr>
          <w:rFonts w:ascii="Arial" w:hAnsi="Arial" w:cs="Arial"/>
          <w:sz w:val="20"/>
          <w:lang w:val="en-GB"/>
        </w:rPr>
        <w:t>Service users with a longstanding history of medically unexplained symptoms</w:t>
      </w:r>
      <w:r w:rsidR="009A3081">
        <w:rPr>
          <w:rFonts w:ascii="Arial" w:hAnsi="Arial" w:cs="Arial"/>
          <w:sz w:val="20"/>
          <w:lang w:val="en-GB"/>
        </w:rPr>
        <w:t>.</w:t>
      </w:r>
    </w:p>
    <w:p w14:paraId="50913834" w14:textId="77777777" w:rsidR="00956EEC" w:rsidRDefault="00956EEC" w:rsidP="00956EEC">
      <w:pPr>
        <w:numPr>
          <w:ilvl w:val="0"/>
          <w:numId w:val="1"/>
        </w:numPr>
        <w:spacing w:before="120" w:after="0"/>
        <w:ind w:left="714" w:hanging="357"/>
        <w:rPr>
          <w:rFonts w:ascii="Arial" w:hAnsi="Arial" w:cs="Arial"/>
          <w:sz w:val="20"/>
          <w:lang w:val="en-GB"/>
        </w:rPr>
      </w:pPr>
      <w:r>
        <w:rPr>
          <w:rFonts w:ascii="Arial" w:hAnsi="Arial" w:cs="Arial"/>
          <w:sz w:val="20"/>
          <w:lang w:val="en-GB"/>
        </w:rPr>
        <w:t>Engagement and achievement of goals likely to be interrupted by other pathologies or mental health conditions such as radiotherapy/chemotherapy (neuro-oncology referrals must have an identified treatment plan and have an awareness of likely prognosis); dialysis several times a week; dementia which will impact on a 12 weeks programme.</w:t>
      </w:r>
    </w:p>
    <w:p w14:paraId="6E25F7B5" w14:textId="3C03774F" w:rsidR="00956EEC" w:rsidRDefault="00956EEC" w:rsidP="00956EEC">
      <w:pPr>
        <w:pStyle w:val="ListParagraph"/>
        <w:numPr>
          <w:ilvl w:val="0"/>
          <w:numId w:val="1"/>
        </w:numPr>
        <w:spacing w:before="120"/>
        <w:ind w:left="714" w:hanging="357"/>
        <w:rPr>
          <w:rFonts w:ascii="Arial" w:hAnsi="Arial" w:cs="Arial"/>
          <w:sz w:val="20"/>
        </w:rPr>
      </w:pPr>
      <w:r>
        <w:rPr>
          <w:rFonts w:ascii="Arial" w:hAnsi="Arial" w:cs="Arial"/>
          <w:sz w:val="20"/>
        </w:rPr>
        <w:t>Service users who are already receiving adequate therapy from other services, be it statutory/non-statutory</w:t>
      </w:r>
      <w:r w:rsidR="009A3081">
        <w:rPr>
          <w:rFonts w:ascii="Arial" w:hAnsi="Arial" w:cs="Arial"/>
          <w:sz w:val="20"/>
        </w:rPr>
        <w:t>.</w:t>
      </w:r>
    </w:p>
    <w:p w14:paraId="419CCC45" w14:textId="77777777" w:rsidR="00956EEC" w:rsidRDefault="00956EEC" w:rsidP="00956EEC">
      <w:pPr>
        <w:spacing w:after="0"/>
        <w:rPr>
          <w:rFonts w:ascii="Arial" w:hAnsi="Arial" w:cs="Arial"/>
          <w:color w:val="FF0000"/>
          <w:sz w:val="20"/>
        </w:rPr>
      </w:pPr>
    </w:p>
    <w:p w14:paraId="37555419" w14:textId="77777777" w:rsidR="00956EEC" w:rsidRDefault="00956EEC"/>
    <w:sectPr w:rsidR="00956E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42E66"/>
    <w:multiLevelType w:val="hybridMultilevel"/>
    <w:tmpl w:val="887CA3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35413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EEC"/>
    <w:rsid w:val="00956EEC"/>
    <w:rsid w:val="009A30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BC9D3"/>
  <w15:chartTrackingRefBased/>
  <w15:docId w15:val="{1C11CF16-6CA3-4125-BC18-385C2E69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EEC"/>
    <w:pPr>
      <w:spacing w:after="200" w:line="240" w:lineRule="auto"/>
    </w:pPr>
    <w:rPr>
      <w:rFonts w:eastAsiaTheme="minorEastAsia"/>
      <w:kern w:val="0"/>
      <w:sz w:val="24"/>
      <w:szCs w:val="20"/>
      <w:lang w:val="en-US"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956EEC"/>
    <w:rPr>
      <w:rFonts w:ascii="Times New Roman" w:eastAsia="Times New Roman" w:hAnsi="Times New Roman" w:cs="Times New Roman"/>
      <w:sz w:val="24"/>
      <w:szCs w:val="24"/>
      <w:lang w:eastAsia="en-GB"/>
    </w:rPr>
  </w:style>
  <w:style w:type="paragraph" w:styleId="ListParagraph">
    <w:name w:val="List Paragraph"/>
    <w:basedOn w:val="Normal"/>
    <w:link w:val="ListParagraphChar"/>
    <w:uiPriority w:val="34"/>
    <w:qFormat/>
    <w:rsid w:val="00956EEC"/>
    <w:pPr>
      <w:spacing w:after="0"/>
      <w:ind w:left="720"/>
    </w:pPr>
    <w:rPr>
      <w:rFonts w:ascii="Times New Roman" w:eastAsia="Times New Roman" w:hAnsi="Times New Roman" w:cs="Times New Roman"/>
      <w:kern w:val="2"/>
      <w:szCs w:val="24"/>
      <w:lang w:val="en-GB"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03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1644</Characters>
  <Application>Microsoft Office Word</Application>
  <DocSecurity>0</DocSecurity>
  <Lines>13</Lines>
  <Paragraphs>3</Paragraphs>
  <ScaleCrop>false</ScaleCrop>
  <Company>BCHC NHS Foundation Trust</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Ann (BIRMINGHAM COMMUNITY HEALTHCARE NHS FOUNDATION TRUST)</dc:creator>
  <cp:keywords/>
  <dc:description/>
  <cp:lastModifiedBy>ANDERSON, Ann (BIRMINGHAM COMMUNITY HEALTHCARE NHS FOUNDATION TRUST)</cp:lastModifiedBy>
  <cp:revision>3</cp:revision>
  <dcterms:created xsi:type="dcterms:W3CDTF">2023-02-28T14:28:00Z</dcterms:created>
  <dcterms:modified xsi:type="dcterms:W3CDTF">2023-02-28T14:33:00Z</dcterms:modified>
</cp:coreProperties>
</file>