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0D" w:rsidRDefault="00C472FD">
      <w:pPr>
        <w:pStyle w:val="NormalWeb"/>
        <w:jc w:val="center"/>
        <w:divId w:val="1071079969"/>
      </w:pPr>
      <w:bookmarkStart w:id="0" w:name="_GoBack"/>
      <w:bookmarkEnd w:id="0"/>
      <w:r>
        <w:rPr>
          <w:b/>
          <w:bCs/>
        </w:rPr>
        <w:t>НАЦИОНАЛНО СРЕДНО УЧИЛИЩЕ "СОФИЯ"</w:t>
      </w:r>
      <w:r>
        <w:rPr>
          <w:b/>
          <w:bCs/>
        </w:rPr>
        <w:br/>
        <w:t xml:space="preserve">гр. София, бул."Монтевидео" №21, 02/955-98-92,nsou151@abv.bg </w:t>
      </w:r>
    </w:p>
    <w:p w:rsidR="002E0E0D" w:rsidRDefault="00E51DA1">
      <w:pPr>
        <w:ind w:left="0" w:right="0"/>
        <w:jc w:val="center"/>
        <w:divId w:val="1071079969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2E0E0D" w:rsidRDefault="00C472FD">
      <w:pPr>
        <w:ind w:left="0" w:right="0"/>
        <w:jc w:val="center"/>
        <w:divId w:val="1644696244"/>
        <w:rPr>
          <w:rFonts w:eastAsia="Times New Roman"/>
        </w:rPr>
      </w:pPr>
      <w:r>
        <w:rPr>
          <w:rFonts w:eastAsia="Times New Roman"/>
        </w:rPr>
        <w:br/>
      </w:r>
    </w:p>
    <w:p w:rsidR="002E0E0D" w:rsidRDefault="00C472FD">
      <w:p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divId w:val="1644696244"/>
      </w:pPr>
      <w:r>
        <w:rPr>
          <w:b/>
          <w:bCs/>
        </w:rPr>
        <w:t>Приложение I</w:t>
      </w:r>
      <w:r>
        <w:t xml:space="preserve"> </w:t>
      </w:r>
      <w:r>
        <w:br/>
        <w:t xml:space="preserve">към раздел VIII, т. 24, 1. Регистър на дейности </w:t>
      </w:r>
      <w:r>
        <w:br/>
        <w:t xml:space="preserve">по обработване на лични данни </w:t>
      </w: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2E0E0D" w:rsidRDefault="00C472FD">
      <w:pPr>
        <w:jc w:val="center"/>
        <w:divId w:val="1644696244"/>
      </w:pPr>
      <w:r>
        <w:rPr>
          <w:b/>
          <w:bCs/>
          <w:sz w:val="28"/>
          <w:szCs w:val="28"/>
        </w:rPr>
        <w:t xml:space="preserve">1. Регистър на дейности по обработване на лични данни (администратор) </w:t>
      </w: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2E0E0D" w:rsidRDefault="00C472FD">
      <w:pPr>
        <w:jc w:val="center"/>
        <w:divId w:val="1644696244"/>
      </w:pPr>
      <w:r>
        <w:rPr>
          <w:b/>
          <w:bCs/>
          <w:sz w:val="28"/>
          <w:szCs w:val="28"/>
        </w:rPr>
        <w:t xml:space="preserve">Данни за администратора </w:t>
      </w: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tbl>
      <w:tblPr>
        <w:tblW w:w="47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10455"/>
      </w:tblGrid>
      <w:tr w:rsidR="002E0E0D" w:rsidTr="00F306D5">
        <w:trPr>
          <w:divId w:val="1644696244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</w:pPr>
            <w:r>
              <w:t xml:space="preserve">Администратор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</w:pPr>
            <w:r>
              <w:t xml:space="preserve">НАЦИОНАЛНО СРЕДНО УЧИЛИЩЕ "СОФИЯ" </w:t>
            </w:r>
          </w:p>
        </w:tc>
      </w:tr>
      <w:tr w:rsidR="002E0E0D" w:rsidTr="00F306D5">
        <w:trPr>
          <w:divId w:val="1644696244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</w:pPr>
            <w:r>
              <w:t xml:space="preserve">Адрес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</w:pPr>
            <w:r>
              <w:t xml:space="preserve">гр. София, бул."Монтевидео" №21 </w:t>
            </w:r>
          </w:p>
        </w:tc>
      </w:tr>
      <w:tr w:rsidR="002E0E0D" w:rsidTr="00F306D5">
        <w:trPr>
          <w:divId w:val="1644696244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Име, фамилия на директора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Росен Милчов Цветанов </w:t>
            </w:r>
          </w:p>
        </w:tc>
      </w:tr>
      <w:tr w:rsidR="002E0E0D" w:rsidTr="00F306D5">
        <w:trPr>
          <w:divId w:val="1644696244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Е-mail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nsou151@abv.bg </w:t>
            </w:r>
          </w:p>
        </w:tc>
      </w:tr>
      <w:tr w:rsidR="002E0E0D" w:rsidTr="00F306D5">
        <w:trPr>
          <w:divId w:val="1644696244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Телефон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02/955-98-92 </w:t>
            </w:r>
          </w:p>
        </w:tc>
      </w:tr>
      <w:tr w:rsidR="002E0E0D" w:rsidTr="00F306D5">
        <w:trPr>
          <w:divId w:val="1644696244"/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ДЛЗД </w:t>
            </w:r>
          </w:p>
        </w:tc>
        <w:tc>
          <w:tcPr>
            <w:tcW w:w="6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F306D5">
            <w:pPr>
              <w:ind w:left="0" w:right="0"/>
              <w:rPr>
                <w:rFonts w:eastAsia="Times New Roman"/>
              </w:rPr>
            </w:pPr>
            <w:r>
              <w:rPr>
                <w:rStyle w:val="select2-selectionrendered"/>
                <w:rFonts w:eastAsia="Times New Roman"/>
              </w:rPr>
              <w:t>Радослав Симеонов</w:t>
            </w:r>
            <w:r w:rsidR="00C472FD">
              <w:rPr>
                <w:rStyle w:val="select2-selectionrendered"/>
                <w:rFonts w:eastAsia="Times New Roman"/>
                <w:vanish/>
              </w:rPr>
              <w:t xml:space="preserve">--- Моля, изберете </w:t>
            </w:r>
            <w:r w:rsidR="00C472FD">
              <w:rPr>
                <w:rFonts w:eastAsia="Times New Roman"/>
              </w:rPr>
              <w:t xml:space="preserve">, </w:t>
            </w:r>
            <w:r w:rsidR="00C472FD">
              <w:rPr>
                <w:rStyle w:val="viewtextarea"/>
                <w:rFonts w:eastAsia="Times New Roman"/>
              </w:rPr>
              <w:t>контакти: телефон</w:t>
            </w:r>
            <w:r>
              <w:rPr>
                <w:rStyle w:val="viewtextarea"/>
                <w:rFonts w:eastAsia="Times New Roman"/>
              </w:rPr>
              <w:t>: 0884606760</w:t>
            </w:r>
            <w:r w:rsidR="00C472FD">
              <w:rPr>
                <w:rStyle w:val="viewtextarea"/>
                <w:rFonts w:eastAsia="Times New Roman"/>
              </w:rPr>
              <w:t>, e-mail</w:t>
            </w:r>
            <w:r>
              <w:rPr>
                <w:rStyle w:val="viewtextarea"/>
                <w:rFonts w:eastAsia="Times New Roman"/>
              </w:rPr>
              <w:t>:</w:t>
            </w:r>
            <w:r w:rsidR="00C472FD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nsou151@abv.bg</w:t>
            </w:r>
          </w:p>
        </w:tc>
      </w:tr>
    </w:tbl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FC7543" w:rsidRDefault="00FC7543">
      <w:pPr>
        <w:jc w:val="center"/>
        <w:divId w:val="1644696244"/>
        <w:rPr>
          <w:b/>
          <w:bCs/>
          <w:sz w:val="28"/>
          <w:szCs w:val="28"/>
        </w:rPr>
      </w:pPr>
    </w:p>
    <w:p w:rsidR="00FC7543" w:rsidRDefault="00FC7543">
      <w:pPr>
        <w:jc w:val="center"/>
        <w:divId w:val="1644696244"/>
        <w:rPr>
          <w:b/>
          <w:bCs/>
          <w:sz w:val="28"/>
          <w:szCs w:val="28"/>
        </w:rPr>
      </w:pPr>
    </w:p>
    <w:p w:rsidR="00FC7543" w:rsidRDefault="00FC7543">
      <w:pPr>
        <w:jc w:val="center"/>
        <w:divId w:val="1644696244"/>
        <w:rPr>
          <w:b/>
          <w:bCs/>
          <w:sz w:val="28"/>
          <w:szCs w:val="28"/>
        </w:rPr>
      </w:pPr>
    </w:p>
    <w:p w:rsidR="00FC7543" w:rsidRDefault="00FC7543">
      <w:pPr>
        <w:jc w:val="center"/>
        <w:divId w:val="1644696244"/>
        <w:rPr>
          <w:b/>
          <w:bCs/>
          <w:sz w:val="28"/>
          <w:szCs w:val="28"/>
        </w:rPr>
      </w:pPr>
    </w:p>
    <w:p w:rsidR="00FC7543" w:rsidRDefault="00FC7543">
      <w:pPr>
        <w:jc w:val="center"/>
        <w:divId w:val="1644696244"/>
        <w:rPr>
          <w:b/>
          <w:bCs/>
          <w:sz w:val="28"/>
          <w:szCs w:val="28"/>
        </w:rPr>
      </w:pPr>
    </w:p>
    <w:p w:rsidR="002E0E0D" w:rsidRDefault="00C472FD">
      <w:pPr>
        <w:jc w:val="center"/>
        <w:divId w:val="16446962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РЕГИСТЪР </w:t>
      </w:r>
    </w:p>
    <w:p w:rsidR="00FC7543" w:rsidRDefault="00FC7543">
      <w:pPr>
        <w:jc w:val="center"/>
        <w:divId w:val="1644696244"/>
      </w:pP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tbl>
      <w:tblPr>
        <w:tblW w:w="10000" w:type="dxa"/>
        <w:jc w:val="center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304"/>
        <w:gridCol w:w="1939"/>
        <w:gridCol w:w="1551"/>
        <w:gridCol w:w="2042"/>
        <w:gridCol w:w="1494"/>
        <w:gridCol w:w="1461"/>
      </w:tblGrid>
      <w:tr w:rsidR="002E0E0D" w:rsidTr="00BB4ECD">
        <w:trPr>
          <w:divId w:val="1644696244"/>
          <w:cantSplit/>
          <w:tblHeader/>
          <w:jc w:val="center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Цел на обработването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Категория лица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Категории лични данни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Категории получатели на данните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Период на съхранение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Прилагани ТОМ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rStyle w:val="Strong"/>
                <w:sz w:val="22"/>
                <w:szCs w:val="22"/>
              </w:rPr>
              <w:t>Основание за обработване на данните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Реализиране на трудови правоотношения със служители на институцията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Бивши служители (напр. напуснали, пенсионирани лица)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 персонални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контакт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пенсионни, осигурителни и данъчни права и задължения (вкл. ползване на отпуски)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синдикална принадлежност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Финансови данни (вкл. изплатена сума, банкова сметка, допълнително материално стимулиране)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образование, квалификация, професионален опит;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изпълнение на трудовите задължения (оценка на изпълнението; повишаване на квалификацията)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Самите субекти (пенсионери)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Публични институции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Финансови организации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актове*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(Кодекс на труда, ДПК, КСО)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Договорно задължение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Провеждане на конкурси за назначаване на нови служители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Кандидати за работа в институцията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 персонални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контакт;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образование, квалификация, професионален опит;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 приключване на съответния конкурс и избор на кандидат, но не по </w:t>
            </w:r>
            <w:r>
              <w:rPr>
                <w:sz w:val="22"/>
                <w:szCs w:val="22"/>
              </w:rPr>
              <w:lastRenderedPageBreak/>
              <w:t>дълъг от три години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Легитимен интерес на работодателя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Съгласие на кандидата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Пред-договорни отношения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Контрол над чувствителни зони и ресурси на институцията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Посетители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Ученици/Деца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Родители/Настойници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Видеонаблюдение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актове*** (видеонаблюдение)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Легитимен интерес на работодателя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Изпълнение на задача в обществен интерес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Спазване на законови задължения (напр. ОРЗД)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 персонални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Системни действия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Надзорен орган (напр. КЗЛД)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Няма определен период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Осъществяване на образователен процес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Ученици/Деца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Родители/Настойници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Персонални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контакт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присъствия, отсъствия, успех, положени изпити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Фотографии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Изплатени стипендии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Видеозаписи от ДЗИ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Публични институции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 организации от същата категория (напр. други училища, детски градини)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Самите лица, чиито данни </w:t>
            </w:r>
            <w:r>
              <w:rPr>
                <w:sz w:val="22"/>
                <w:szCs w:val="22"/>
              </w:rPr>
              <w:lastRenderedPageBreak/>
              <w:t>се обработват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Съгласно приложимите нормативни актове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Наредба № 8/2016 г. за информацията и документите в СПУО и др.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(ЗПУО, ЗПОО, ДОС, други)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Създаване на подходяща и здравословна среда в образователната институция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Ученици/Деца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Родители/Настойници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Персонални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контакт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Здравни / медицински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Публични институции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Други организации от същата категория (напр. други училища, детски градини)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Самите лица, чиито данни се обработват</w:t>
            </w:r>
          </w:p>
          <w:p w:rsidR="002E0E0D" w:rsidRDefault="00C472FD" w:rsidP="00FC754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Осъществяване на обща и/или на допълнителна подкрепа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Ученици/Деца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Родители/Настойници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Персонални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контакт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Деца/ученици, в т.ч. за допълнителната подкрепа деца/ученици: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   в риск;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  със СОП;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  с изявени дарби;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  с хронични заболявания.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Здравни / медицински данни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Публични институции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 организации от същата категория (напр. други училища, детски градини, ЦСОП, РЦПППО)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Самите лица, чиито данни се обработват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  <w:p w:rsidR="00FC7543" w:rsidRDefault="00FC7543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ЗПУО, ЗПОО, Наредба за приобщаващо образование и Наредба № 8/2016 г. за информацията и документите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Законовото задължение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Здравно осигуряване на лица над 18г.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над 18г. (ученици)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Персонални данни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Публични институции (НАП)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Самите лица, чиито данни се обработват</w:t>
            </w:r>
          </w:p>
          <w:p w:rsidR="002E0E0D" w:rsidRDefault="00C472FD" w:rsidP="00FC754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Получаване на дарения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Дарители на институцията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Персонални данни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Самите лица, чиито данни се обработват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Осъществяване на контакт с родител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Родители/Настойници /Други роднини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Персонални данни,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Данни за контакт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Самите лица, чиито данни се обработват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0B51" w:rsidRDefault="00160B5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  <w:p w:rsidR="002E0E0D" w:rsidRDefault="00C472FD" w:rsidP="00F306D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Съгласие</w:t>
            </w:r>
            <w:r w:rsidR="00F306D5">
              <w:rPr>
                <w:sz w:val="22"/>
                <w:szCs w:val="22"/>
              </w:rPr>
              <w:t xml:space="preserve"> при допълни-телни дейности</w:t>
            </w:r>
          </w:p>
        </w:tc>
      </w:tr>
      <w:tr w:rsidR="002E0E0D" w:rsidTr="00BB4ECD">
        <w:trPr>
          <w:divId w:val="1644696244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 и видеоматериали, свързани с дейността на институцията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Деца/Ученици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Фотографии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Видеозаписи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Служители на институцията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Самите лица, чиито данни се обработват и техните родители</w:t>
            </w:r>
          </w:p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FC7543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Обработващи данни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приложимите нормативни актове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E0E0D" w:rsidRDefault="00C472F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Съгласно политика за ТОМ на институцията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B4ECD" w:rsidRDefault="00BB4ECD" w:rsidP="00BB4EC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Законово задължение</w:t>
            </w:r>
          </w:p>
          <w:p w:rsidR="00BB4ECD" w:rsidRDefault="00BB4ECD">
            <w:pPr>
              <w:pStyle w:val="NormalWeb"/>
              <w:rPr>
                <w:sz w:val="22"/>
                <w:szCs w:val="22"/>
              </w:rPr>
            </w:pPr>
          </w:p>
          <w:p w:rsidR="002E0E0D" w:rsidRDefault="00BB4ECD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Съгласие при допълни-телни дейности</w:t>
            </w:r>
          </w:p>
        </w:tc>
      </w:tr>
    </w:tbl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2E0E0D" w:rsidRDefault="00C472FD">
      <w:pPr>
        <w:pStyle w:val="BodyText"/>
        <w:divId w:val="1644696244"/>
      </w:pPr>
      <w:r>
        <w:lastRenderedPageBreak/>
        <w:t xml:space="preserve">Относно приложими нормативни актове </w:t>
      </w: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2E0E0D" w:rsidRDefault="00C472FD">
      <w:pPr>
        <w:pStyle w:val="BodyText"/>
        <w:divId w:val="1644696244"/>
      </w:pPr>
      <w:r>
        <w:t xml:space="preserve">*Съгласно Данъчно-осигурителен процесуален кодекс: </w:t>
      </w:r>
    </w:p>
    <w:p w:rsidR="002E0E0D" w:rsidRDefault="00C472FD">
      <w:pPr>
        <w:pStyle w:val="BodyText"/>
        <w:divId w:val="1644696244"/>
      </w:pPr>
      <w:r>
        <w:t xml:space="preserve">• ведомости за заплати - 50 години </w:t>
      </w:r>
    </w:p>
    <w:p w:rsidR="002E0E0D" w:rsidRDefault="00C472FD">
      <w:pPr>
        <w:pStyle w:val="BodyText"/>
        <w:divId w:val="1644696244"/>
      </w:pPr>
      <w:r>
        <w:t xml:space="preserve">• счетоводни регистри и финансови отчети - 10 години </w:t>
      </w:r>
    </w:p>
    <w:p w:rsidR="002E0E0D" w:rsidRDefault="00C472FD">
      <w:pPr>
        <w:pStyle w:val="BodyText"/>
        <w:divId w:val="1644696244"/>
      </w:pPr>
      <w:r>
        <w:t xml:space="preserve">• документи за данъчно-осигурителен контрол - 5 години след изтичане на давностния срок за погасяване на публичното задължение, с което са свързани </w:t>
      </w:r>
    </w:p>
    <w:p w:rsidR="002E0E0D" w:rsidRDefault="00C472FD">
      <w:pPr>
        <w:pStyle w:val="BodyText"/>
        <w:divId w:val="1644696244"/>
      </w:pPr>
      <w:r>
        <w:t xml:space="preserve">• всички останали носители - 5 години. </w:t>
      </w: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2E0E0D" w:rsidRDefault="00C472FD">
      <w:pPr>
        <w:pStyle w:val="BodyText"/>
        <w:divId w:val="1644696244"/>
      </w:pPr>
      <w:r>
        <w:t xml:space="preserve">**Съгласно Кодекс на труда: </w:t>
      </w:r>
    </w:p>
    <w:p w:rsidR="002E0E0D" w:rsidRDefault="00C472FD">
      <w:pPr>
        <w:pStyle w:val="BodyText"/>
        <w:divId w:val="1644696244"/>
      </w:pPr>
      <w:r>
        <w:t xml:space="preserve">• съгласно давността за налагане на дисциплинарни наказания до 1 година от извършването му. </w:t>
      </w:r>
    </w:p>
    <w:p w:rsidR="002E0E0D" w:rsidRDefault="002E0E0D">
      <w:pPr>
        <w:ind w:left="0" w:right="0"/>
        <w:jc w:val="center"/>
        <w:divId w:val="1644696244"/>
        <w:rPr>
          <w:rFonts w:eastAsia="Times New Roman"/>
        </w:rPr>
      </w:pPr>
    </w:p>
    <w:p w:rsidR="002E0E0D" w:rsidRDefault="00C472FD">
      <w:pPr>
        <w:pStyle w:val="BodyText"/>
        <w:divId w:val="1644696244"/>
      </w:pPr>
      <w:r>
        <w:t xml:space="preserve">***Закон за частната охранителна дейност: </w:t>
      </w:r>
    </w:p>
    <w:p w:rsidR="002E0E0D" w:rsidRDefault="00C472FD">
      <w:pPr>
        <w:pStyle w:val="BodyText"/>
        <w:divId w:val="1644696244"/>
      </w:pPr>
      <w:r>
        <w:t xml:space="preserve">• 30-дневен срок след извършването им. </w:t>
      </w:r>
    </w:p>
    <w:p w:rsidR="00C472FD" w:rsidRDefault="00C472FD">
      <w:pPr>
        <w:spacing w:after="240"/>
        <w:ind w:left="0" w:right="0"/>
        <w:jc w:val="center"/>
        <w:divId w:val="1644696244"/>
        <w:rPr>
          <w:rFonts w:eastAsia="Times New Roman"/>
        </w:rPr>
      </w:pPr>
    </w:p>
    <w:sectPr w:rsidR="00C472FD" w:rsidSect="00FC75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4FE8"/>
    <w:rsid w:val="00160B51"/>
    <w:rsid w:val="002E0E0D"/>
    <w:rsid w:val="00BB4ECD"/>
    <w:rsid w:val="00C0627B"/>
    <w:rsid w:val="00C472FD"/>
    <w:rsid w:val="00CA4FE8"/>
    <w:rsid w:val="00E51DA1"/>
    <w:rsid w:val="00F306D5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</w:pPr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textarea">
    <w:name w:val="viewtextarea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ind w:left="0" w:right="0"/>
    </w:pPr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textarea">
    <w:name w:val="viewtextarea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996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446962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I Регистър на дейностите по обработване на лични данни (администратор)</vt:lpstr>
    </vt:vector>
  </TitlesOfParts>
  <Company>Microsoft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I Регистър на дейностите по обработване на лични данни (администратор)</dc:title>
  <dc:creator>User</dc:creator>
  <cp:lastModifiedBy>User</cp:lastModifiedBy>
  <cp:revision>2</cp:revision>
  <dcterms:created xsi:type="dcterms:W3CDTF">2018-12-12T19:03:00Z</dcterms:created>
  <dcterms:modified xsi:type="dcterms:W3CDTF">2018-12-12T19:03:00Z</dcterms:modified>
</cp:coreProperties>
</file>