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2F" w:rsidRDefault="00D9322F">
      <w:pPr>
        <w:pStyle w:val="c1"/>
        <w:spacing w:line="240" w:lineRule="auto"/>
        <w:rPr>
          <w:rFonts w:ascii="Arial" w:hAnsi="Arial"/>
          <w:b/>
          <w:sz w:val="36"/>
        </w:rPr>
      </w:pPr>
      <w:r>
        <w:rPr>
          <w:rFonts w:ascii="Arial" w:hAnsi="Arial"/>
          <w:b/>
          <w:sz w:val="36"/>
        </w:rPr>
        <w:t>PATIENTS' RIGHTS</w:t>
      </w:r>
    </w:p>
    <w:p w:rsidR="00D9322F" w:rsidRPr="009F1E5E" w:rsidRDefault="00D9322F">
      <w:pPr>
        <w:pStyle w:val="c1"/>
        <w:spacing w:line="240" w:lineRule="auto"/>
        <w:rPr>
          <w:rFonts w:ascii="Arial" w:hAnsi="Arial"/>
          <w:b/>
          <w:sz w:val="16"/>
          <w:szCs w:val="16"/>
        </w:rPr>
      </w:pPr>
    </w:p>
    <w:p w:rsidR="00D9322F" w:rsidRDefault="00D9322F">
      <w:pPr>
        <w:pStyle w:val="p2"/>
        <w:spacing w:line="240" w:lineRule="auto"/>
        <w:ind w:left="420"/>
        <w:rPr>
          <w:rFonts w:ascii="Arial" w:hAnsi="Arial"/>
          <w:b/>
          <w:sz w:val="28"/>
        </w:rPr>
      </w:pPr>
      <w:r>
        <w:rPr>
          <w:rFonts w:ascii="Arial" w:hAnsi="Arial"/>
          <w:b/>
          <w:sz w:val="28"/>
        </w:rPr>
        <w:t>A patient shall have the right to:</w:t>
      </w:r>
    </w:p>
    <w:p w:rsidR="00E50E3B" w:rsidRDefault="00E50E3B">
      <w:pPr>
        <w:pStyle w:val="p2"/>
        <w:spacing w:line="240" w:lineRule="auto"/>
        <w:ind w:left="420"/>
        <w:rPr>
          <w:rFonts w:ascii="Arial" w:hAnsi="Arial"/>
          <w:b/>
          <w:sz w:val="28"/>
        </w:rPr>
      </w:pPr>
    </w:p>
    <w:p w:rsidR="00D9322F" w:rsidRDefault="00D9322F">
      <w:pPr>
        <w:pStyle w:val="p3"/>
        <w:spacing w:line="200" w:lineRule="exact"/>
        <w:ind w:left="432"/>
        <w:rPr>
          <w:rFonts w:ascii="Arial" w:hAnsi="Arial"/>
          <w:sz w:val="18"/>
        </w:rPr>
      </w:pPr>
      <w:r>
        <w:rPr>
          <w:rFonts w:ascii="Arial" w:hAnsi="Arial"/>
          <w:sz w:val="18"/>
        </w:rPr>
        <w:t>1.</w:t>
      </w:r>
      <w:r>
        <w:rPr>
          <w:rFonts w:ascii="Arial" w:hAnsi="Arial"/>
          <w:sz w:val="18"/>
        </w:rPr>
        <w:tab/>
        <w:t>Exercise these rights without regard to sex, economic status, educational background, race, color, religion, ancestry, national origin, sexual orientation or marital status, or the source of payment for care</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2.</w:t>
      </w:r>
      <w:r>
        <w:rPr>
          <w:rFonts w:ascii="Arial" w:hAnsi="Arial"/>
          <w:sz w:val="18"/>
        </w:rPr>
        <w:tab/>
        <w:t>Considerate and respectful care.</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3.</w:t>
      </w:r>
      <w:r>
        <w:rPr>
          <w:rFonts w:ascii="Arial" w:hAnsi="Arial"/>
          <w:sz w:val="18"/>
        </w:rPr>
        <w:tab/>
        <w:t>Knowledge of the name of the physician who has primary responsibility for coordinating the care and the names and professional relationships of other physicians and non-physicians who will see the patient.</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4.</w:t>
      </w:r>
      <w:r>
        <w:rPr>
          <w:rFonts w:ascii="Arial" w:hAnsi="Arial"/>
          <w:sz w:val="18"/>
        </w:rPr>
        <w:tab/>
        <w:t>Receive information about the illness, the course of treatment and prospects for recovery in terms that the patient can understand.</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5.</w:t>
      </w:r>
      <w:r>
        <w:rPr>
          <w:rFonts w:ascii="Arial" w:hAnsi="Arial"/>
          <w:sz w:val="18"/>
        </w:rPr>
        <w:tab/>
        <w:t xml:space="preserve">Receive as much information about any proposed treatment or procedure as the patient may need in order to give informed consent or to refuse this course of treatment. Except In emergencies, this information shall include a description of the procedure or treatment, the medically significant risks involved in this treatment, alternate course of treatment or </w:t>
      </w:r>
      <w:proofErr w:type="spellStart"/>
      <w:r>
        <w:rPr>
          <w:rFonts w:ascii="Arial" w:hAnsi="Arial"/>
          <w:sz w:val="18"/>
        </w:rPr>
        <w:t>nontreatment</w:t>
      </w:r>
      <w:proofErr w:type="spellEnd"/>
      <w:r>
        <w:rPr>
          <w:rFonts w:ascii="Arial" w:hAnsi="Arial"/>
          <w:sz w:val="18"/>
        </w:rPr>
        <w:t xml:space="preserve"> and the risks involved in each and to know the name of the person who will carry out the procedure or treatment.</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6.</w:t>
      </w:r>
      <w:r>
        <w:rPr>
          <w:rFonts w:ascii="Arial" w:hAnsi="Arial"/>
          <w:sz w:val="18"/>
        </w:rPr>
        <w:tab/>
        <w:t>Participate actively in decisions regarding medical care. To the extent permitted by law, this includes the right to refuse treatment.</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7.</w:t>
      </w:r>
      <w:r>
        <w:rPr>
          <w:rFonts w:ascii="Arial" w:hAnsi="Arial"/>
          <w:sz w:val="18"/>
        </w:rPr>
        <w:tab/>
        <w:t>Full consideration of privacy concerning the medical care program. The patient has the right to be advised as to the reason for the presence of any individual.</w:t>
      </w:r>
    </w:p>
    <w:p w:rsidR="00D9322F" w:rsidRDefault="00D9322F">
      <w:pPr>
        <w:tabs>
          <w:tab w:val="left" w:pos="440"/>
        </w:tabs>
        <w:spacing w:line="200" w:lineRule="exact"/>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Confidential treatment of all communications and records pertaining to the care and stay in the center. Written</w:t>
      </w:r>
    </w:p>
    <w:p w:rsidR="00D9322F" w:rsidRDefault="00D9322F">
      <w:pPr>
        <w:pStyle w:val="p4"/>
        <w:spacing w:line="200" w:lineRule="exact"/>
        <w:ind w:left="432" w:firstLine="0"/>
        <w:rPr>
          <w:rFonts w:ascii="Arial" w:hAnsi="Arial"/>
          <w:sz w:val="18"/>
        </w:rPr>
      </w:pPr>
      <w:r>
        <w:rPr>
          <w:rFonts w:ascii="Arial" w:hAnsi="Arial"/>
          <w:sz w:val="18"/>
        </w:rPr>
        <w:tab/>
      </w:r>
      <w:proofErr w:type="gramStart"/>
      <w:r>
        <w:rPr>
          <w:rFonts w:ascii="Arial" w:hAnsi="Arial"/>
          <w:sz w:val="18"/>
        </w:rPr>
        <w:t>permission</w:t>
      </w:r>
      <w:proofErr w:type="gramEnd"/>
      <w:r>
        <w:rPr>
          <w:rFonts w:ascii="Arial" w:hAnsi="Arial"/>
          <w:sz w:val="18"/>
        </w:rPr>
        <w:t xml:space="preserve"> shall be obtained before the medical records can be made available to anyone not directly concerned with the care.</w:t>
      </w:r>
    </w:p>
    <w:p w:rsidR="00D9322F" w:rsidRDefault="00D9322F">
      <w:pPr>
        <w:pStyle w:val="p4"/>
        <w:spacing w:line="200" w:lineRule="exact"/>
        <w:ind w:left="432"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Reasonable responses to any reasonable requests made for service.</w:t>
      </w:r>
    </w:p>
    <w:p w:rsidR="00D9322F" w:rsidRDefault="00D9322F">
      <w:pPr>
        <w:pStyle w:val="p4"/>
        <w:spacing w:line="200" w:lineRule="exact"/>
        <w:ind w:left="0" w:firstLine="0"/>
        <w:rPr>
          <w:rFonts w:ascii="Arial" w:hAnsi="Arial"/>
          <w:sz w:val="18"/>
        </w:rPr>
      </w:pPr>
    </w:p>
    <w:p w:rsidR="00D9322F" w:rsidRDefault="003E044C">
      <w:pPr>
        <w:pStyle w:val="p4"/>
        <w:numPr>
          <w:ilvl w:val="0"/>
          <w:numId w:val="1"/>
        </w:numPr>
        <w:spacing w:line="200" w:lineRule="exact"/>
        <w:rPr>
          <w:rFonts w:ascii="Arial" w:hAnsi="Arial"/>
          <w:sz w:val="18"/>
        </w:rPr>
      </w:pPr>
      <w:r>
        <w:rPr>
          <w:rFonts w:ascii="Arial" w:hAnsi="Arial"/>
          <w:sz w:val="18"/>
        </w:rPr>
        <w:t>Change providers if other qualified providers are available, and/or may l</w:t>
      </w:r>
      <w:r w:rsidR="00D9322F">
        <w:rPr>
          <w:rFonts w:ascii="Arial" w:hAnsi="Arial"/>
          <w:sz w:val="18"/>
        </w:rPr>
        <w:t>eave the center even against the advice of physicians.</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Reasonable continuity of care and to know in advance the time and location of appointment as well as the identity of persons providing the care.</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Re advised if center/personal physician proposes to engage in or perform human experimentation affecting care or treatment. The patient has the right to refuse to participate in such research projects.</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Be informed of continuing health care requirements following discharge from the center.</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Examine and receive an explanation of the bill regardless of source of payment.</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4"/>
        <w:numPr>
          <w:ilvl w:val="0"/>
          <w:numId w:val="1"/>
        </w:numPr>
        <w:spacing w:line="200" w:lineRule="exact"/>
        <w:rPr>
          <w:rFonts w:ascii="Arial" w:hAnsi="Arial"/>
          <w:sz w:val="18"/>
        </w:rPr>
      </w:pPr>
      <w:r>
        <w:rPr>
          <w:rFonts w:ascii="Arial" w:hAnsi="Arial"/>
          <w:sz w:val="18"/>
        </w:rPr>
        <w:t>Know which center rules and policies apply to patient's conduct while a patient.</w:t>
      </w:r>
    </w:p>
    <w:p w:rsidR="00D9322F" w:rsidRDefault="00D9322F">
      <w:pPr>
        <w:pStyle w:val="p4"/>
        <w:tabs>
          <w:tab w:val="clear" w:pos="440"/>
        </w:tabs>
        <w:spacing w:line="200" w:lineRule="exact"/>
        <w:ind w:left="0" w:firstLine="0"/>
        <w:rPr>
          <w:rFonts w:ascii="Arial" w:hAnsi="Arial"/>
          <w:sz w:val="18"/>
        </w:rPr>
      </w:pPr>
    </w:p>
    <w:p w:rsidR="00D9322F" w:rsidRDefault="00D9322F">
      <w:pPr>
        <w:pStyle w:val="p3"/>
        <w:numPr>
          <w:ilvl w:val="0"/>
          <w:numId w:val="1"/>
        </w:numPr>
        <w:spacing w:line="200" w:lineRule="exact"/>
        <w:rPr>
          <w:rFonts w:ascii="Arial" w:hAnsi="Arial"/>
          <w:sz w:val="18"/>
        </w:rPr>
      </w:pPr>
      <w:r>
        <w:rPr>
          <w:rFonts w:ascii="Arial" w:hAnsi="Arial"/>
          <w:sz w:val="18"/>
        </w:rPr>
        <w:t>Have all patients' rights apply to the person who may have legal responsibility to make decisions regarding medical care on behalf of the patient.</w:t>
      </w:r>
    </w:p>
    <w:p w:rsidR="00D9322F" w:rsidRDefault="00D9322F">
      <w:pPr>
        <w:pStyle w:val="p3"/>
        <w:tabs>
          <w:tab w:val="clear" w:pos="440"/>
        </w:tabs>
        <w:spacing w:line="200" w:lineRule="exact"/>
        <w:ind w:left="0" w:firstLine="0"/>
        <w:rPr>
          <w:rFonts w:ascii="Arial" w:hAnsi="Arial"/>
          <w:sz w:val="18"/>
        </w:rPr>
      </w:pPr>
    </w:p>
    <w:p w:rsidR="00D9322F" w:rsidRDefault="00D9322F">
      <w:pPr>
        <w:pStyle w:val="p4"/>
        <w:spacing w:line="200" w:lineRule="exact"/>
        <w:ind w:left="432"/>
        <w:rPr>
          <w:rFonts w:ascii="Arial" w:hAnsi="Arial"/>
          <w:sz w:val="18"/>
        </w:rPr>
      </w:pPr>
      <w:r>
        <w:rPr>
          <w:rFonts w:ascii="Arial" w:hAnsi="Arial"/>
          <w:sz w:val="18"/>
        </w:rPr>
        <w:t>17.</w:t>
      </w:r>
      <w:r>
        <w:rPr>
          <w:rFonts w:ascii="Arial" w:hAnsi="Arial"/>
          <w:sz w:val="18"/>
        </w:rPr>
        <w:tab/>
        <w:t>Designate visitors of his/her choosing, if the patient has decision-making capacity, whether or not the visitor is related by blood or marriage, unless:</w:t>
      </w:r>
    </w:p>
    <w:p w:rsidR="00D9322F" w:rsidRDefault="00D9322F">
      <w:pPr>
        <w:pStyle w:val="p5"/>
        <w:spacing w:line="200" w:lineRule="exact"/>
        <w:rPr>
          <w:rFonts w:ascii="Arial" w:hAnsi="Arial"/>
          <w:sz w:val="18"/>
        </w:rPr>
      </w:pPr>
      <w:r>
        <w:rPr>
          <w:rFonts w:ascii="Arial" w:hAnsi="Arial"/>
          <w:sz w:val="18"/>
        </w:rPr>
        <w:t>a)</w:t>
      </w:r>
      <w:r>
        <w:rPr>
          <w:rFonts w:ascii="Arial" w:hAnsi="Arial"/>
          <w:sz w:val="18"/>
        </w:rPr>
        <w:tab/>
        <w:t>No visitors are allowed.</w:t>
      </w:r>
    </w:p>
    <w:p w:rsidR="00D9322F" w:rsidRDefault="00D9322F">
      <w:pPr>
        <w:pStyle w:val="p5"/>
        <w:spacing w:line="200" w:lineRule="exact"/>
        <w:rPr>
          <w:rFonts w:ascii="Arial" w:hAnsi="Arial"/>
          <w:sz w:val="18"/>
        </w:rPr>
      </w:pPr>
      <w:r>
        <w:rPr>
          <w:rFonts w:ascii="Arial" w:hAnsi="Arial"/>
          <w:sz w:val="18"/>
        </w:rPr>
        <w:t>b)</w:t>
      </w:r>
      <w:r>
        <w:rPr>
          <w:rFonts w:ascii="Arial" w:hAnsi="Arial"/>
          <w:sz w:val="18"/>
        </w:rPr>
        <w:tab/>
        <w:t>The facility reasonably determines that the presence of a particular visitor would endanger the health or safety of a patient, a member of the health facility staff, or other visitor to the health facility, or would significantly disrupt the operations of the facility.</w:t>
      </w:r>
    </w:p>
    <w:p w:rsidR="00D9322F" w:rsidRDefault="00D9322F">
      <w:pPr>
        <w:pStyle w:val="p5"/>
        <w:spacing w:line="200" w:lineRule="exact"/>
        <w:rPr>
          <w:rFonts w:ascii="Arial" w:hAnsi="Arial"/>
          <w:sz w:val="18"/>
        </w:rPr>
      </w:pPr>
      <w:r>
        <w:rPr>
          <w:rFonts w:ascii="Arial" w:hAnsi="Arial"/>
          <w:sz w:val="18"/>
        </w:rPr>
        <w:t>c)</w:t>
      </w:r>
      <w:r>
        <w:rPr>
          <w:rFonts w:ascii="Arial" w:hAnsi="Arial"/>
          <w:sz w:val="18"/>
        </w:rPr>
        <w:tab/>
        <w:t>The patient has indicated to the health facility staff that the patient no longer wants this person to 'visit.</w:t>
      </w:r>
    </w:p>
    <w:p w:rsidR="00D9322F" w:rsidRDefault="00D9322F">
      <w:pPr>
        <w:tabs>
          <w:tab w:val="left" w:pos="440"/>
          <w:tab w:val="left" w:pos="72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18.</w:t>
      </w:r>
      <w:r>
        <w:rPr>
          <w:rFonts w:ascii="Arial" w:hAnsi="Arial"/>
          <w:sz w:val="18"/>
        </w:rPr>
        <w:tab/>
        <w:t>Have the patient's wishes considered for purposes of determining who may visit if the patient lacks decision-making capacity and to have the method of that consideration disclosed in the center policy on visitation. At a minimum, the center shall include any persons living in the household.</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19.</w:t>
      </w:r>
      <w:r>
        <w:rPr>
          <w:rFonts w:ascii="Arial" w:hAnsi="Arial"/>
          <w:sz w:val="18"/>
        </w:rPr>
        <w:tab/>
        <w:t xml:space="preserve">This section may not be construed to prohibit a health facility from otherwise establishing reasonable restrictions upon visitation, </w:t>
      </w:r>
      <w:proofErr w:type="gramStart"/>
      <w:r>
        <w:rPr>
          <w:rFonts w:ascii="Arial" w:hAnsi="Arial"/>
          <w:sz w:val="18"/>
        </w:rPr>
        <w:t>including</w:t>
      </w:r>
      <w:proofErr w:type="gramEnd"/>
      <w:r>
        <w:rPr>
          <w:rFonts w:ascii="Arial" w:hAnsi="Arial"/>
          <w:sz w:val="18"/>
        </w:rPr>
        <w:t xml:space="preserve"> restrictions upon the hours of visitation and number of visitors.</w:t>
      </w:r>
    </w:p>
    <w:p w:rsidR="00D9322F" w:rsidRDefault="00D9322F">
      <w:pPr>
        <w:tabs>
          <w:tab w:val="left" w:pos="440"/>
        </w:tabs>
        <w:spacing w:line="200" w:lineRule="exact"/>
        <w:rPr>
          <w:rFonts w:ascii="Arial" w:hAnsi="Arial"/>
          <w:sz w:val="18"/>
        </w:rPr>
      </w:pPr>
    </w:p>
    <w:p w:rsidR="00D9322F" w:rsidRDefault="00D9322F">
      <w:pPr>
        <w:pStyle w:val="p3"/>
        <w:spacing w:line="200" w:lineRule="exact"/>
        <w:ind w:left="432"/>
        <w:rPr>
          <w:rFonts w:ascii="Arial" w:hAnsi="Arial"/>
          <w:sz w:val="18"/>
        </w:rPr>
      </w:pPr>
      <w:r>
        <w:rPr>
          <w:rFonts w:ascii="Arial" w:hAnsi="Arial"/>
          <w:sz w:val="18"/>
        </w:rPr>
        <w:t>21.</w:t>
      </w:r>
      <w:r>
        <w:rPr>
          <w:rFonts w:ascii="Arial" w:hAnsi="Arial"/>
          <w:sz w:val="18"/>
        </w:rPr>
        <w:tab/>
        <w:t>Be informed of established procedure whereby patient complaints are forwarded to center administration for appropriate response.</w:t>
      </w:r>
    </w:p>
    <w:p w:rsidR="00D9322F" w:rsidRDefault="00D9322F">
      <w:pPr>
        <w:tabs>
          <w:tab w:val="left" w:pos="440"/>
        </w:tabs>
        <w:spacing w:line="200" w:lineRule="exact"/>
        <w:rPr>
          <w:rFonts w:ascii="Arial" w:hAnsi="Arial"/>
          <w:sz w:val="18"/>
        </w:rPr>
      </w:pPr>
    </w:p>
    <w:p w:rsidR="00D9322F" w:rsidRDefault="00D9322F" w:rsidP="00D9322F">
      <w:pPr>
        <w:pStyle w:val="p3"/>
        <w:spacing w:line="200" w:lineRule="exact"/>
        <w:ind w:left="432"/>
        <w:rPr>
          <w:rFonts w:ascii="Arial" w:hAnsi="Arial"/>
          <w:sz w:val="18"/>
        </w:rPr>
      </w:pPr>
      <w:r>
        <w:rPr>
          <w:rFonts w:ascii="Arial" w:hAnsi="Arial"/>
          <w:sz w:val="18"/>
        </w:rPr>
        <w:t>22.</w:t>
      </w:r>
      <w:r>
        <w:rPr>
          <w:rFonts w:ascii="Arial" w:hAnsi="Arial"/>
          <w:sz w:val="18"/>
        </w:rPr>
        <w:tab/>
        <w:t xml:space="preserve">Be informed regarding access to </w:t>
      </w:r>
      <w:r w:rsidR="009F1E5E">
        <w:rPr>
          <w:rFonts w:ascii="Arial" w:hAnsi="Arial"/>
          <w:sz w:val="18"/>
        </w:rPr>
        <w:t xml:space="preserve">advanced directives, living wills, durable power of attorney, and the </w:t>
      </w:r>
      <w:r>
        <w:rPr>
          <w:rFonts w:ascii="Arial" w:hAnsi="Arial"/>
          <w:sz w:val="18"/>
        </w:rPr>
        <w:t>center's ethics process.</w:t>
      </w:r>
      <w:r w:rsidR="009F1E5E">
        <w:rPr>
          <w:rFonts w:ascii="Arial" w:hAnsi="Arial"/>
          <w:sz w:val="18"/>
        </w:rPr>
        <w:t xml:space="preserve"> Given the elective nature of procedures at this center, </w:t>
      </w:r>
      <w:r w:rsidR="00085A47">
        <w:rPr>
          <w:rFonts w:ascii="Arial" w:hAnsi="Arial"/>
          <w:sz w:val="18"/>
        </w:rPr>
        <w:t>the</w:t>
      </w:r>
      <w:r w:rsidR="009F1E5E">
        <w:rPr>
          <w:rFonts w:ascii="Arial" w:hAnsi="Arial"/>
          <w:sz w:val="18"/>
        </w:rPr>
        <w:t xml:space="preserve"> center will not honor advance directives while you are a patient here. </w:t>
      </w:r>
    </w:p>
    <w:p w:rsidR="00D9322F" w:rsidRDefault="00D9322F">
      <w:pPr>
        <w:pStyle w:val="p3"/>
        <w:spacing w:line="200" w:lineRule="exact"/>
        <w:ind w:left="432"/>
        <w:rPr>
          <w:rFonts w:ascii="Arial" w:hAnsi="Arial"/>
          <w:sz w:val="18"/>
        </w:rPr>
      </w:pPr>
    </w:p>
    <w:p w:rsidR="009F1E5E" w:rsidRDefault="0081228C">
      <w:pPr>
        <w:pStyle w:val="p3"/>
        <w:spacing w:line="200" w:lineRule="exact"/>
        <w:ind w:left="432"/>
        <w:rPr>
          <w:rFonts w:ascii="Arial" w:hAnsi="Arial"/>
          <w:sz w:val="18"/>
        </w:rPr>
      </w:pPr>
      <w:r>
        <w:rPr>
          <w:rFonts w:ascii="Arial" w:hAnsi="Arial"/>
          <w:sz w:val="18"/>
        </w:rPr>
        <w:tab/>
      </w:r>
      <w:r>
        <w:rPr>
          <w:rFonts w:ascii="Arial" w:hAnsi="Arial"/>
          <w:sz w:val="18"/>
        </w:rPr>
        <w:tab/>
        <w:t>The Newport Center for Special Surgery is owned by Herbert Scott M.D.</w:t>
      </w:r>
      <w:r w:rsidR="00D9322F">
        <w:rPr>
          <w:rFonts w:ascii="Arial" w:hAnsi="Arial"/>
          <w:sz w:val="18"/>
        </w:rPr>
        <w:tab/>
      </w:r>
    </w:p>
    <w:p w:rsidR="009F1E5E" w:rsidRDefault="009F1E5E">
      <w:pPr>
        <w:pStyle w:val="p3"/>
        <w:spacing w:line="200" w:lineRule="exact"/>
        <w:ind w:left="432"/>
        <w:rPr>
          <w:rFonts w:ascii="Arial" w:hAnsi="Arial"/>
          <w:sz w:val="18"/>
        </w:rPr>
      </w:pPr>
    </w:p>
    <w:p w:rsidR="009F1E5E" w:rsidRDefault="009F1E5E">
      <w:pPr>
        <w:pStyle w:val="p3"/>
        <w:spacing w:line="200" w:lineRule="exact"/>
        <w:ind w:left="432"/>
        <w:rPr>
          <w:rFonts w:ascii="Arial" w:hAnsi="Arial"/>
          <w:sz w:val="18"/>
        </w:rPr>
      </w:pPr>
    </w:p>
    <w:p w:rsidR="00D9322F" w:rsidRDefault="00A17074">
      <w:pPr>
        <w:pStyle w:val="p3"/>
        <w:spacing w:line="200" w:lineRule="exact"/>
        <w:ind w:left="432"/>
        <w:rPr>
          <w:rFonts w:ascii="Arial" w:hAnsi="Arial"/>
          <w:sz w:val="18"/>
        </w:rPr>
      </w:pPr>
      <w:r>
        <w:rPr>
          <w:rFonts w:ascii="Arial" w:hAnsi="Arial"/>
          <w:sz w:val="18"/>
        </w:rPr>
        <w:t xml:space="preserve">Complaints may be made to the </w:t>
      </w:r>
      <w:r w:rsidR="00D9322F">
        <w:rPr>
          <w:rFonts w:ascii="Arial" w:hAnsi="Arial"/>
          <w:sz w:val="18"/>
        </w:rPr>
        <w:t>California Dept of Public Health Phone 916 558-1784</w:t>
      </w:r>
    </w:p>
    <w:p w:rsidR="000A0A72" w:rsidRDefault="000A0A72">
      <w:pPr>
        <w:pStyle w:val="p3"/>
        <w:spacing w:line="200" w:lineRule="exact"/>
        <w:ind w:left="432"/>
        <w:rPr>
          <w:rFonts w:ascii="Arial" w:hAnsi="Arial"/>
          <w:sz w:val="18"/>
        </w:rPr>
      </w:pPr>
      <w:r>
        <w:rPr>
          <w:rFonts w:ascii="Arial" w:hAnsi="Arial"/>
          <w:sz w:val="18"/>
        </w:rPr>
        <w:t xml:space="preserve">Office of the Medicare Beneficiary Ombudsman </w:t>
      </w:r>
      <w:proofErr w:type="gramStart"/>
      <w:r>
        <w:rPr>
          <w:rFonts w:ascii="Arial" w:hAnsi="Arial"/>
          <w:sz w:val="18"/>
        </w:rPr>
        <w:t xml:space="preserve">at  </w:t>
      </w:r>
      <w:r w:rsidRPr="000A0A72">
        <w:rPr>
          <w:rFonts w:ascii="Arial" w:hAnsi="Arial"/>
          <w:sz w:val="18"/>
          <w:u w:val="single"/>
        </w:rPr>
        <w:t>http</w:t>
      </w:r>
      <w:proofErr w:type="gramEnd"/>
      <w:r w:rsidRPr="000A0A72">
        <w:rPr>
          <w:rFonts w:ascii="Arial" w:hAnsi="Arial"/>
          <w:sz w:val="18"/>
          <w:u w:val="single"/>
        </w:rPr>
        <w:t>://www.medicare.gov/Ombudsman/resources.asp</w:t>
      </w:r>
    </w:p>
    <w:sectPr w:rsidR="000A0A72" w:rsidSect="009F1E5E">
      <w:type w:val="continuous"/>
      <w:pgSz w:w="12240" w:h="15840"/>
      <w:pgMar w:top="450" w:right="630" w:bottom="630" w:left="72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8DE" w:rsidRDefault="008768DE">
      <w:r>
        <w:separator/>
      </w:r>
    </w:p>
  </w:endnote>
  <w:endnote w:type="continuationSeparator" w:id="0">
    <w:p w:rsidR="008768DE" w:rsidRDefault="00876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8DE" w:rsidRDefault="008768DE">
      <w:r>
        <w:separator/>
      </w:r>
    </w:p>
  </w:footnote>
  <w:footnote w:type="continuationSeparator" w:id="0">
    <w:p w:rsidR="008768DE" w:rsidRDefault="00876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C557A"/>
    <w:multiLevelType w:val="singleLevel"/>
    <w:tmpl w:val="F1D071C6"/>
    <w:lvl w:ilvl="0">
      <w:start w:val="8"/>
      <w:numFmt w:val="decimal"/>
      <w:lvlText w:val="%1."/>
      <w:lvlJc w:val="left"/>
      <w:pPr>
        <w:tabs>
          <w:tab w:val="num" w:pos="435"/>
        </w:tabs>
        <w:ind w:left="435" w:hanging="4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9322F"/>
    <w:rsid w:val="00085A47"/>
    <w:rsid w:val="000A0A72"/>
    <w:rsid w:val="00176DEC"/>
    <w:rsid w:val="002D3CD0"/>
    <w:rsid w:val="003E044C"/>
    <w:rsid w:val="005A239C"/>
    <w:rsid w:val="00632E42"/>
    <w:rsid w:val="0081228C"/>
    <w:rsid w:val="00827DA9"/>
    <w:rsid w:val="008768DE"/>
    <w:rsid w:val="008D067A"/>
    <w:rsid w:val="009F1E5E"/>
    <w:rsid w:val="00A17074"/>
    <w:rsid w:val="00AC18D5"/>
    <w:rsid w:val="00D75777"/>
    <w:rsid w:val="00D9322F"/>
    <w:rsid w:val="00E145E6"/>
    <w:rsid w:val="00E26BE4"/>
    <w:rsid w:val="00E50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p2">
    <w:name w:val="p2"/>
    <w:basedOn w:val="Normal"/>
    <w:pPr>
      <w:tabs>
        <w:tab w:val="left" w:pos="420"/>
      </w:tabs>
      <w:spacing w:line="240" w:lineRule="atLeast"/>
      <w:ind w:left="1020"/>
    </w:pPr>
  </w:style>
  <w:style w:type="paragraph" w:customStyle="1" w:styleId="p3">
    <w:name w:val="p3"/>
    <w:basedOn w:val="Normal"/>
    <w:pPr>
      <w:tabs>
        <w:tab w:val="left" w:pos="440"/>
      </w:tabs>
      <w:spacing w:line="200" w:lineRule="atLeast"/>
      <w:ind w:left="1008" w:hanging="432"/>
    </w:pPr>
  </w:style>
  <w:style w:type="paragraph" w:customStyle="1" w:styleId="p4">
    <w:name w:val="p4"/>
    <w:basedOn w:val="Normal"/>
    <w:pPr>
      <w:tabs>
        <w:tab w:val="left" w:pos="440"/>
      </w:tabs>
      <w:spacing w:line="320" w:lineRule="atLeast"/>
      <w:ind w:left="1008" w:hanging="432"/>
    </w:pPr>
  </w:style>
  <w:style w:type="paragraph" w:customStyle="1" w:styleId="p5">
    <w:name w:val="p5"/>
    <w:basedOn w:val="Normal"/>
    <w:pPr>
      <w:tabs>
        <w:tab w:val="left" w:pos="440"/>
        <w:tab w:val="left" w:pos="720"/>
      </w:tabs>
      <w:spacing w:line="200" w:lineRule="atLeast"/>
      <w:ind w:left="720" w:hanging="288"/>
    </w:pPr>
  </w:style>
  <w:style w:type="paragraph" w:customStyle="1" w:styleId="p6">
    <w:name w:val="p6"/>
    <w:basedOn w:val="Normal"/>
    <w:pPr>
      <w:spacing w:line="240" w:lineRule="atLeast"/>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PATIENTS' RIGHTS</vt:lpstr>
    </vt:vector>
  </TitlesOfParts>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PATIENTS' RIGHTS</dc:title>
  <dc:creator>H. Rand Scott, M.D.</dc:creator>
  <cp:lastModifiedBy>Rand Scott</cp:lastModifiedBy>
  <cp:revision>2</cp:revision>
  <cp:lastPrinted>2003-03-12T19:08:00Z</cp:lastPrinted>
  <dcterms:created xsi:type="dcterms:W3CDTF">2015-05-26T22:02:00Z</dcterms:created>
  <dcterms:modified xsi:type="dcterms:W3CDTF">2015-05-26T22:02:00Z</dcterms:modified>
</cp:coreProperties>
</file>