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A4ABD8" w14:textId="1B0A1239" w:rsidR="00B06CFA" w:rsidRDefault="001428D5" w:rsidP="001428D5">
      <w:pPr>
        <w:spacing w:after="0" w:line="240" w:lineRule="auto"/>
        <w:contextualSpacing/>
        <w:rPr>
          <w:rFonts w:ascii="Times New Roman" w:hAnsi="Times New Roman" w:cs="Times New Roman"/>
          <w:b/>
          <w:bCs/>
          <w:sz w:val="24"/>
          <w:szCs w:val="24"/>
        </w:rPr>
      </w:pPr>
      <w:r w:rsidRPr="001428D5">
        <w:rPr>
          <w:rFonts w:ascii="Times New Roman" w:hAnsi="Times New Roman" w:cs="Times New Roman"/>
          <w:b/>
          <w:bCs/>
          <w:sz w:val="24"/>
          <w:szCs w:val="24"/>
        </w:rPr>
        <w:t>Benchmarking</w:t>
      </w:r>
      <w:r w:rsidR="00747D00">
        <w:rPr>
          <w:rFonts w:ascii="Times New Roman" w:hAnsi="Times New Roman" w:cs="Times New Roman"/>
          <w:b/>
          <w:bCs/>
          <w:sz w:val="24"/>
          <w:szCs w:val="24"/>
        </w:rPr>
        <w:t xml:space="preserve"> Helps Make Decisions </w:t>
      </w:r>
    </w:p>
    <w:p w14:paraId="6C69E64D" w14:textId="509DA322" w:rsidR="00C347FB" w:rsidRPr="00C347FB" w:rsidRDefault="00C347FB" w:rsidP="001428D5">
      <w:pPr>
        <w:spacing w:after="0" w:line="240" w:lineRule="auto"/>
        <w:contextualSpacing/>
        <w:rPr>
          <w:rFonts w:ascii="Times New Roman" w:hAnsi="Times New Roman" w:cs="Times New Roman"/>
          <w:sz w:val="20"/>
          <w:szCs w:val="20"/>
        </w:rPr>
      </w:pPr>
      <w:r w:rsidRPr="00C347FB">
        <w:rPr>
          <w:rFonts w:ascii="Times New Roman" w:hAnsi="Times New Roman" w:cs="Times New Roman"/>
          <w:sz w:val="20"/>
          <w:szCs w:val="20"/>
        </w:rPr>
        <w:t>By Jason Fewell, N</w:t>
      </w:r>
      <w:r>
        <w:rPr>
          <w:rFonts w:ascii="Times New Roman" w:hAnsi="Times New Roman" w:cs="Times New Roman"/>
          <w:sz w:val="20"/>
          <w:szCs w:val="20"/>
        </w:rPr>
        <w:t xml:space="preserve">orth </w:t>
      </w:r>
      <w:r w:rsidRPr="00C347FB">
        <w:rPr>
          <w:rFonts w:ascii="Times New Roman" w:hAnsi="Times New Roman" w:cs="Times New Roman"/>
          <w:sz w:val="20"/>
          <w:szCs w:val="20"/>
        </w:rPr>
        <w:t>D</w:t>
      </w:r>
      <w:r>
        <w:rPr>
          <w:rFonts w:ascii="Times New Roman" w:hAnsi="Times New Roman" w:cs="Times New Roman"/>
          <w:sz w:val="20"/>
          <w:szCs w:val="20"/>
        </w:rPr>
        <w:t>akota</w:t>
      </w:r>
      <w:bookmarkStart w:id="0" w:name="_GoBack"/>
      <w:bookmarkEnd w:id="0"/>
      <w:r w:rsidRPr="00C347FB">
        <w:rPr>
          <w:rFonts w:ascii="Times New Roman" w:hAnsi="Times New Roman" w:cs="Times New Roman"/>
          <w:sz w:val="20"/>
          <w:szCs w:val="20"/>
        </w:rPr>
        <w:t xml:space="preserve"> Farm Management Education</w:t>
      </w:r>
      <w:r>
        <w:rPr>
          <w:rFonts w:ascii="Times New Roman" w:hAnsi="Times New Roman" w:cs="Times New Roman"/>
          <w:sz w:val="20"/>
          <w:szCs w:val="20"/>
        </w:rPr>
        <w:t xml:space="preserve"> Program</w:t>
      </w:r>
      <w:r w:rsidRPr="00C347FB">
        <w:rPr>
          <w:rFonts w:ascii="Times New Roman" w:hAnsi="Times New Roman" w:cs="Times New Roman"/>
          <w:sz w:val="20"/>
          <w:szCs w:val="20"/>
        </w:rPr>
        <w:t xml:space="preserve"> Instructor</w:t>
      </w:r>
    </w:p>
    <w:p w14:paraId="5D639BED" w14:textId="5161BC73" w:rsidR="00DA1960" w:rsidRDefault="00DA1960" w:rsidP="001428D5">
      <w:pPr>
        <w:spacing w:after="0" w:line="240" w:lineRule="auto"/>
        <w:contextualSpacing/>
        <w:rPr>
          <w:rFonts w:ascii="Times New Roman" w:hAnsi="Times New Roman" w:cs="Times New Roman"/>
          <w:sz w:val="24"/>
          <w:szCs w:val="24"/>
        </w:rPr>
      </w:pPr>
    </w:p>
    <w:p w14:paraId="3EFA6E94" w14:textId="620B1079" w:rsidR="001D2066" w:rsidRDefault="00820FD1" w:rsidP="002C5F47">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Developing plans for your farming and ranching operation is a critical process</w:t>
      </w:r>
      <w:r w:rsidR="001D2066">
        <w:rPr>
          <w:rFonts w:ascii="Times New Roman" w:hAnsi="Times New Roman" w:cs="Times New Roman"/>
          <w:sz w:val="24"/>
          <w:szCs w:val="24"/>
        </w:rPr>
        <w:t>. An important part of planning for a new year includes analyzing the past year and determining which crops and livestock enterprises were profitable and which were not. Part of the annual analysis can include benchmarking crop and livestock enterprises against yourself and others.</w:t>
      </w:r>
    </w:p>
    <w:p w14:paraId="14050031" w14:textId="4F5D8E51" w:rsidR="00E85A4B" w:rsidRDefault="00FA7F73" w:rsidP="002C5F47">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Some</w:t>
      </w:r>
      <w:r w:rsidR="00DA1960">
        <w:rPr>
          <w:rFonts w:ascii="Times New Roman" w:hAnsi="Times New Roman" w:cs="Times New Roman"/>
          <w:sz w:val="24"/>
          <w:szCs w:val="24"/>
        </w:rPr>
        <w:t xml:space="preserve"> farmers and ranchers</w:t>
      </w:r>
      <w:r>
        <w:rPr>
          <w:rFonts w:ascii="Times New Roman" w:hAnsi="Times New Roman" w:cs="Times New Roman"/>
          <w:sz w:val="24"/>
          <w:szCs w:val="24"/>
        </w:rPr>
        <w:t xml:space="preserve"> may</w:t>
      </w:r>
      <w:r w:rsidR="00DA1960">
        <w:rPr>
          <w:rFonts w:ascii="Times New Roman" w:hAnsi="Times New Roman" w:cs="Times New Roman"/>
          <w:sz w:val="24"/>
          <w:szCs w:val="24"/>
        </w:rPr>
        <w:t xml:space="preserve"> see little value in benchmarking, even though everyone benchmarks their operation, maybe without realizing it. </w:t>
      </w:r>
      <w:r w:rsidR="00AE6170">
        <w:rPr>
          <w:rFonts w:ascii="Times New Roman" w:hAnsi="Times New Roman" w:cs="Times New Roman"/>
          <w:sz w:val="24"/>
          <w:szCs w:val="24"/>
        </w:rPr>
        <w:t xml:space="preserve">Benchmarking against yourself provides you with a way to compare changes year-to-year on your own operation. </w:t>
      </w:r>
      <w:r w:rsidR="005A261D">
        <w:rPr>
          <w:rFonts w:ascii="Times New Roman" w:hAnsi="Times New Roman" w:cs="Times New Roman"/>
          <w:sz w:val="24"/>
          <w:szCs w:val="24"/>
        </w:rPr>
        <w:t xml:space="preserve">Benchmarking yields from one year to the next is a good exercise. </w:t>
      </w:r>
      <w:r w:rsidR="00AE6170">
        <w:rPr>
          <w:rFonts w:ascii="Times New Roman" w:hAnsi="Times New Roman" w:cs="Times New Roman"/>
          <w:sz w:val="24"/>
          <w:szCs w:val="24"/>
        </w:rPr>
        <w:t>D</w:t>
      </w:r>
      <w:r w:rsidR="005A261D">
        <w:rPr>
          <w:rFonts w:ascii="Times New Roman" w:hAnsi="Times New Roman" w:cs="Times New Roman"/>
          <w:sz w:val="24"/>
          <w:szCs w:val="24"/>
        </w:rPr>
        <w:t>etermine what internal and external factors caused crop yields to be higher or lower than last year</w:t>
      </w:r>
      <w:r w:rsidR="00E85A4B">
        <w:rPr>
          <w:rFonts w:ascii="Times New Roman" w:hAnsi="Times New Roman" w:cs="Times New Roman"/>
          <w:sz w:val="24"/>
          <w:szCs w:val="24"/>
        </w:rPr>
        <w:t xml:space="preserve">. Was it weather-related, good or poor seed selection, accurate or inaccurate fertilizer application, or some other factor? </w:t>
      </w:r>
      <w:r w:rsidR="001D2066">
        <w:rPr>
          <w:rFonts w:ascii="Times New Roman" w:hAnsi="Times New Roman" w:cs="Times New Roman"/>
          <w:sz w:val="24"/>
          <w:szCs w:val="24"/>
        </w:rPr>
        <w:t xml:space="preserve">You can benchmark enterprises on a field level too. Not all farmland is created equal. It </w:t>
      </w:r>
      <w:r w:rsidR="00460EF2">
        <w:rPr>
          <w:rFonts w:ascii="Times New Roman" w:hAnsi="Times New Roman" w:cs="Times New Roman"/>
          <w:sz w:val="24"/>
          <w:szCs w:val="24"/>
        </w:rPr>
        <w:t>can be</w:t>
      </w:r>
      <w:r w:rsidR="001D2066">
        <w:rPr>
          <w:rFonts w:ascii="Times New Roman" w:hAnsi="Times New Roman" w:cs="Times New Roman"/>
          <w:sz w:val="24"/>
          <w:szCs w:val="24"/>
        </w:rPr>
        <w:t xml:space="preserve"> useful to benchmark </w:t>
      </w:r>
      <w:r w:rsidR="00460EF2">
        <w:rPr>
          <w:rFonts w:ascii="Times New Roman" w:hAnsi="Times New Roman" w:cs="Times New Roman"/>
          <w:sz w:val="24"/>
          <w:szCs w:val="24"/>
        </w:rPr>
        <w:t xml:space="preserve">net returns per field to determine if inputs should be varied across fields to earn the same return. </w:t>
      </w:r>
      <w:r w:rsidR="00E85A4B">
        <w:rPr>
          <w:rFonts w:ascii="Times New Roman" w:hAnsi="Times New Roman" w:cs="Times New Roman"/>
          <w:sz w:val="24"/>
          <w:szCs w:val="24"/>
        </w:rPr>
        <w:t xml:space="preserve">For livestock producers, benchmark </w:t>
      </w:r>
      <w:r w:rsidR="00AE6170">
        <w:rPr>
          <w:rFonts w:ascii="Times New Roman" w:hAnsi="Times New Roman" w:cs="Times New Roman"/>
          <w:sz w:val="24"/>
          <w:szCs w:val="24"/>
        </w:rPr>
        <w:t>pregnancy percentages,</w:t>
      </w:r>
      <w:r w:rsidR="00C621C5">
        <w:rPr>
          <w:rFonts w:ascii="Times New Roman" w:hAnsi="Times New Roman" w:cs="Times New Roman"/>
          <w:sz w:val="24"/>
          <w:szCs w:val="24"/>
        </w:rPr>
        <w:t xml:space="preserve"> live births,</w:t>
      </w:r>
      <w:r w:rsidR="00AE6170">
        <w:rPr>
          <w:rFonts w:ascii="Times New Roman" w:hAnsi="Times New Roman" w:cs="Times New Roman"/>
          <w:sz w:val="24"/>
          <w:szCs w:val="24"/>
        </w:rPr>
        <w:t xml:space="preserve"> </w:t>
      </w:r>
      <w:r w:rsidR="00E85A4B">
        <w:rPr>
          <w:rFonts w:ascii="Times New Roman" w:hAnsi="Times New Roman" w:cs="Times New Roman"/>
          <w:sz w:val="24"/>
          <w:szCs w:val="24"/>
        </w:rPr>
        <w:t>weaning weights</w:t>
      </w:r>
      <w:r w:rsidR="00AE6170">
        <w:rPr>
          <w:rFonts w:ascii="Times New Roman" w:hAnsi="Times New Roman" w:cs="Times New Roman"/>
          <w:sz w:val="24"/>
          <w:szCs w:val="24"/>
        </w:rPr>
        <w:t xml:space="preserve">, </w:t>
      </w:r>
      <w:r w:rsidR="00C621C5">
        <w:rPr>
          <w:rFonts w:ascii="Times New Roman" w:hAnsi="Times New Roman" w:cs="Times New Roman"/>
          <w:sz w:val="24"/>
          <w:szCs w:val="24"/>
        </w:rPr>
        <w:t>or</w:t>
      </w:r>
      <w:r w:rsidR="00E85A4B">
        <w:rPr>
          <w:rFonts w:ascii="Times New Roman" w:hAnsi="Times New Roman" w:cs="Times New Roman"/>
          <w:sz w:val="24"/>
          <w:szCs w:val="24"/>
        </w:rPr>
        <w:t xml:space="preserve"> production (milk, wool, etc.).</w:t>
      </w:r>
      <w:r w:rsidR="005A261D">
        <w:rPr>
          <w:rFonts w:ascii="Times New Roman" w:hAnsi="Times New Roman" w:cs="Times New Roman"/>
          <w:sz w:val="24"/>
          <w:szCs w:val="24"/>
        </w:rPr>
        <w:t xml:space="preserve"> </w:t>
      </w:r>
      <w:r w:rsidR="00E85A4B">
        <w:rPr>
          <w:rFonts w:ascii="Times New Roman" w:hAnsi="Times New Roman" w:cs="Times New Roman"/>
          <w:sz w:val="24"/>
          <w:szCs w:val="24"/>
        </w:rPr>
        <w:t xml:space="preserve">Keeping accurate records </w:t>
      </w:r>
      <w:r w:rsidR="000D7936">
        <w:rPr>
          <w:rFonts w:ascii="Times New Roman" w:hAnsi="Times New Roman" w:cs="Times New Roman"/>
          <w:sz w:val="24"/>
          <w:szCs w:val="24"/>
        </w:rPr>
        <w:t xml:space="preserve">helps </w:t>
      </w:r>
      <w:r w:rsidR="00E85A4B">
        <w:rPr>
          <w:rFonts w:ascii="Times New Roman" w:hAnsi="Times New Roman" w:cs="Times New Roman"/>
          <w:sz w:val="24"/>
          <w:szCs w:val="24"/>
        </w:rPr>
        <w:t xml:space="preserve">provide you with the necessary data to </w:t>
      </w:r>
      <w:r w:rsidR="000D7936">
        <w:rPr>
          <w:rFonts w:ascii="Times New Roman" w:hAnsi="Times New Roman" w:cs="Times New Roman"/>
          <w:sz w:val="24"/>
          <w:szCs w:val="24"/>
        </w:rPr>
        <w:t>look at changes</w:t>
      </w:r>
      <w:r w:rsidR="00E85A4B">
        <w:rPr>
          <w:rFonts w:ascii="Times New Roman" w:hAnsi="Times New Roman" w:cs="Times New Roman"/>
          <w:sz w:val="24"/>
          <w:szCs w:val="24"/>
        </w:rPr>
        <w:t xml:space="preserve"> from one year to the next.</w:t>
      </w:r>
      <w:r w:rsidR="001D2066">
        <w:rPr>
          <w:rFonts w:ascii="Times New Roman" w:hAnsi="Times New Roman" w:cs="Times New Roman"/>
          <w:sz w:val="24"/>
          <w:szCs w:val="24"/>
        </w:rPr>
        <w:t xml:space="preserve"> </w:t>
      </w:r>
    </w:p>
    <w:p w14:paraId="2D876118" w14:textId="0A07F683" w:rsidR="00DA1960" w:rsidRDefault="00E47365" w:rsidP="002C5F47">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Benchmarking against others </w:t>
      </w:r>
      <w:r w:rsidR="000D7936">
        <w:rPr>
          <w:rFonts w:ascii="Times New Roman" w:hAnsi="Times New Roman" w:cs="Times New Roman"/>
          <w:sz w:val="24"/>
          <w:szCs w:val="24"/>
        </w:rPr>
        <w:t>allow</w:t>
      </w:r>
      <w:r w:rsidR="0007127D">
        <w:rPr>
          <w:rFonts w:ascii="Times New Roman" w:hAnsi="Times New Roman" w:cs="Times New Roman"/>
          <w:sz w:val="24"/>
          <w:szCs w:val="24"/>
        </w:rPr>
        <w:t>s</w:t>
      </w:r>
      <w:r>
        <w:rPr>
          <w:rFonts w:ascii="Times New Roman" w:hAnsi="Times New Roman" w:cs="Times New Roman"/>
          <w:sz w:val="24"/>
          <w:szCs w:val="24"/>
        </w:rPr>
        <w:t xml:space="preserve"> </w:t>
      </w:r>
      <w:r w:rsidR="00AE6170">
        <w:rPr>
          <w:rFonts w:ascii="Times New Roman" w:hAnsi="Times New Roman" w:cs="Times New Roman"/>
          <w:sz w:val="24"/>
          <w:szCs w:val="24"/>
        </w:rPr>
        <w:t>you to</w:t>
      </w:r>
      <w:r w:rsidR="000D7936">
        <w:rPr>
          <w:rFonts w:ascii="Times New Roman" w:hAnsi="Times New Roman" w:cs="Times New Roman"/>
          <w:sz w:val="24"/>
          <w:szCs w:val="24"/>
        </w:rPr>
        <w:t xml:space="preserve"> analyze your</w:t>
      </w:r>
      <w:r w:rsidR="00AE6170">
        <w:rPr>
          <w:rFonts w:ascii="Times New Roman" w:hAnsi="Times New Roman" w:cs="Times New Roman"/>
          <w:sz w:val="24"/>
          <w:szCs w:val="24"/>
        </w:rPr>
        <w:t xml:space="preserve"> </w:t>
      </w:r>
      <w:r w:rsidR="003C5E86">
        <w:rPr>
          <w:rFonts w:ascii="Times New Roman" w:hAnsi="Times New Roman" w:cs="Times New Roman"/>
          <w:sz w:val="24"/>
          <w:szCs w:val="24"/>
        </w:rPr>
        <w:t xml:space="preserve">operation to </w:t>
      </w:r>
      <w:r w:rsidR="00AE6170">
        <w:rPr>
          <w:rFonts w:ascii="Times New Roman" w:hAnsi="Times New Roman" w:cs="Times New Roman"/>
          <w:sz w:val="24"/>
          <w:szCs w:val="24"/>
        </w:rPr>
        <w:t xml:space="preserve">determine if you are over- or under-utilizing inputs. </w:t>
      </w:r>
      <w:r w:rsidR="00DB023F">
        <w:rPr>
          <w:rFonts w:ascii="Times New Roman" w:hAnsi="Times New Roman" w:cs="Times New Roman"/>
          <w:sz w:val="24"/>
          <w:szCs w:val="24"/>
        </w:rPr>
        <w:t xml:space="preserve">It is especially useful to compare input costs by enterprise. </w:t>
      </w:r>
      <w:r w:rsidR="00183ABA">
        <w:rPr>
          <w:rFonts w:ascii="Times New Roman" w:hAnsi="Times New Roman" w:cs="Times New Roman"/>
          <w:sz w:val="24"/>
          <w:szCs w:val="24"/>
        </w:rPr>
        <w:t>For example, l</w:t>
      </w:r>
      <w:r w:rsidR="00DB023F">
        <w:rPr>
          <w:rFonts w:ascii="Times New Roman" w:hAnsi="Times New Roman" w:cs="Times New Roman"/>
          <w:sz w:val="24"/>
          <w:szCs w:val="24"/>
        </w:rPr>
        <w:t xml:space="preserve">ook at your yields and input use by crop to see if you are </w:t>
      </w:r>
      <w:r w:rsidR="00183ABA">
        <w:rPr>
          <w:rFonts w:ascii="Times New Roman" w:hAnsi="Times New Roman" w:cs="Times New Roman"/>
          <w:sz w:val="24"/>
          <w:szCs w:val="24"/>
        </w:rPr>
        <w:t>spending more for the same yield than average producers.</w:t>
      </w:r>
    </w:p>
    <w:p w14:paraId="363790B4" w14:textId="48A2AA31" w:rsidR="003D5076" w:rsidRDefault="00D90815" w:rsidP="002C5F47">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A valuable resource exists in data </w:t>
      </w:r>
      <w:r w:rsidR="000676FE">
        <w:rPr>
          <w:rFonts w:ascii="Times New Roman" w:hAnsi="Times New Roman" w:cs="Times New Roman"/>
          <w:sz w:val="24"/>
          <w:szCs w:val="24"/>
        </w:rPr>
        <w:t>generat</w:t>
      </w:r>
      <w:r>
        <w:rPr>
          <w:rFonts w:ascii="Times New Roman" w:hAnsi="Times New Roman" w:cs="Times New Roman"/>
          <w:sz w:val="24"/>
          <w:szCs w:val="24"/>
        </w:rPr>
        <w:t xml:space="preserve">ed by </w:t>
      </w:r>
      <w:r w:rsidR="000676FE">
        <w:rPr>
          <w:rFonts w:ascii="Times New Roman" w:hAnsi="Times New Roman" w:cs="Times New Roman"/>
          <w:sz w:val="24"/>
          <w:szCs w:val="24"/>
        </w:rPr>
        <w:t xml:space="preserve">the </w:t>
      </w:r>
      <w:r>
        <w:rPr>
          <w:rFonts w:ascii="Times New Roman" w:hAnsi="Times New Roman" w:cs="Times New Roman"/>
          <w:sz w:val="24"/>
          <w:szCs w:val="24"/>
        </w:rPr>
        <w:t>North Dakota Farm Management Education</w:t>
      </w:r>
      <w:r w:rsidR="000676FE">
        <w:rPr>
          <w:rFonts w:ascii="Times New Roman" w:hAnsi="Times New Roman" w:cs="Times New Roman"/>
          <w:sz w:val="24"/>
          <w:szCs w:val="24"/>
        </w:rPr>
        <w:t xml:space="preserve"> Program</w:t>
      </w:r>
      <w:r w:rsidR="003D5076">
        <w:rPr>
          <w:rFonts w:ascii="Times New Roman" w:hAnsi="Times New Roman" w:cs="Times New Roman"/>
          <w:sz w:val="24"/>
          <w:szCs w:val="24"/>
        </w:rPr>
        <w:t xml:space="preserve"> (NDFME)</w:t>
      </w:r>
      <w:r>
        <w:rPr>
          <w:rFonts w:ascii="Times New Roman" w:hAnsi="Times New Roman" w:cs="Times New Roman"/>
          <w:sz w:val="24"/>
          <w:szCs w:val="24"/>
        </w:rPr>
        <w:t xml:space="preserve">. Average production and financial data are compiled from farmers enrolled in the farm management programs across North Dakota. Annual reports are available at </w:t>
      </w:r>
      <w:hyperlink r:id="rId6" w:history="1">
        <w:r w:rsidRPr="009F4A4D">
          <w:rPr>
            <w:rStyle w:val="Hyperlink"/>
            <w:rFonts w:ascii="Times New Roman" w:hAnsi="Times New Roman" w:cs="Times New Roman"/>
            <w:sz w:val="24"/>
            <w:szCs w:val="24"/>
          </w:rPr>
          <w:t>http://www.ndfarmmanagement.com/reports.html</w:t>
        </w:r>
      </w:hyperlink>
      <w:r w:rsidR="00454A2C">
        <w:rPr>
          <w:rFonts w:ascii="Times New Roman" w:hAnsi="Times New Roman" w:cs="Times New Roman"/>
          <w:sz w:val="24"/>
          <w:szCs w:val="24"/>
        </w:rPr>
        <w:t>. There, you can view reports for your region of the state and compare your farm’s financial performance to average producers in the area. Benchmarking i</w:t>
      </w:r>
      <w:r w:rsidR="00D91E65">
        <w:rPr>
          <w:rFonts w:ascii="Times New Roman" w:hAnsi="Times New Roman" w:cs="Times New Roman"/>
          <w:sz w:val="24"/>
          <w:szCs w:val="24"/>
        </w:rPr>
        <w:t xml:space="preserve">nformation can </w:t>
      </w:r>
      <w:r w:rsidR="00454A2C">
        <w:rPr>
          <w:rFonts w:ascii="Times New Roman" w:hAnsi="Times New Roman" w:cs="Times New Roman"/>
          <w:sz w:val="24"/>
          <w:szCs w:val="24"/>
        </w:rPr>
        <w:t xml:space="preserve">also </w:t>
      </w:r>
      <w:r w:rsidR="00D91E65">
        <w:rPr>
          <w:rFonts w:ascii="Times New Roman" w:hAnsi="Times New Roman" w:cs="Times New Roman"/>
          <w:sz w:val="24"/>
          <w:szCs w:val="24"/>
        </w:rPr>
        <w:t xml:space="preserve">be retrieved from the FINBIN database </w:t>
      </w:r>
      <w:r w:rsidR="00454A2C">
        <w:rPr>
          <w:rFonts w:ascii="Times New Roman" w:hAnsi="Times New Roman" w:cs="Times New Roman"/>
          <w:sz w:val="24"/>
          <w:szCs w:val="24"/>
        </w:rPr>
        <w:t xml:space="preserve">housed at the University of Minnesota’s Center for Farm Financial Management </w:t>
      </w:r>
      <w:r w:rsidR="00D91E65">
        <w:rPr>
          <w:rFonts w:ascii="Times New Roman" w:hAnsi="Times New Roman" w:cs="Times New Roman"/>
          <w:sz w:val="24"/>
          <w:szCs w:val="24"/>
        </w:rPr>
        <w:t xml:space="preserve">at </w:t>
      </w:r>
      <w:hyperlink r:id="rId7" w:history="1">
        <w:r w:rsidR="00D91E65" w:rsidRPr="009F4A4D">
          <w:rPr>
            <w:rStyle w:val="Hyperlink"/>
            <w:rFonts w:ascii="Times New Roman" w:hAnsi="Times New Roman" w:cs="Times New Roman"/>
            <w:sz w:val="24"/>
            <w:szCs w:val="24"/>
          </w:rPr>
          <w:t>https://finbin.umn.edu/</w:t>
        </w:r>
      </w:hyperlink>
      <w:r w:rsidR="00D91E65">
        <w:rPr>
          <w:rFonts w:ascii="Times New Roman" w:hAnsi="Times New Roman" w:cs="Times New Roman"/>
          <w:sz w:val="24"/>
          <w:szCs w:val="24"/>
        </w:rPr>
        <w:t>.</w:t>
      </w:r>
      <w:r>
        <w:rPr>
          <w:rFonts w:ascii="Times New Roman" w:hAnsi="Times New Roman" w:cs="Times New Roman"/>
          <w:sz w:val="24"/>
          <w:szCs w:val="24"/>
        </w:rPr>
        <w:t xml:space="preserve"> </w:t>
      </w:r>
      <w:r w:rsidR="00295E95">
        <w:rPr>
          <w:rFonts w:ascii="Times New Roman" w:hAnsi="Times New Roman" w:cs="Times New Roman"/>
          <w:sz w:val="24"/>
          <w:szCs w:val="24"/>
        </w:rPr>
        <w:t xml:space="preserve">You can </w:t>
      </w:r>
      <w:r w:rsidR="000676FE">
        <w:rPr>
          <w:rFonts w:ascii="Times New Roman" w:hAnsi="Times New Roman" w:cs="Times New Roman"/>
          <w:sz w:val="24"/>
          <w:szCs w:val="24"/>
        </w:rPr>
        <w:t>make</w:t>
      </w:r>
      <w:r w:rsidR="00295E95">
        <w:rPr>
          <w:rFonts w:ascii="Times New Roman" w:hAnsi="Times New Roman" w:cs="Times New Roman"/>
          <w:sz w:val="24"/>
          <w:szCs w:val="24"/>
        </w:rPr>
        <w:t xml:space="preserve"> </w:t>
      </w:r>
      <w:r w:rsidR="000676FE">
        <w:rPr>
          <w:rFonts w:ascii="Times New Roman" w:hAnsi="Times New Roman" w:cs="Times New Roman"/>
          <w:sz w:val="24"/>
          <w:szCs w:val="24"/>
        </w:rPr>
        <w:t xml:space="preserve">whole farm and enterprise level comparisons </w:t>
      </w:r>
      <w:r w:rsidR="001348F9">
        <w:rPr>
          <w:rFonts w:ascii="Times New Roman" w:hAnsi="Times New Roman" w:cs="Times New Roman"/>
          <w:sz w:val="24"/>
          <w:szCs w:val="24"/>
        </w:rPr>
        <w:t>with several</w:t>
      </w:r>
      <w:r w:rsidR="00454A2C">
        <w:rPr>
          <w:rFonts w:ascii="Times New Roman" w:hAnsi="Times New Roman" w:cs="Times New Roman"/>
          <w:sz w:val="24"/>
          <w:szCs w:val="24"/>
        </w:rPr>
        <w:t xml:space="preserve"> financial and production</w:t>
      </w:r>
      <w:r w:rsidR="001348F9">
        <w:rPr>
          <w:rFonts w:ascii="Times New Roman" w:hAnsi="Times New Roman" w:cs="Times New Roman"/>
          <w:sz w:val="24"/>
          <w:szCs w:val="24"/>
        </w:rPr>
        <w:t xml:space="preserve"> measure</w:t>
      </w:r>
      <w:r w:rsidR="000676FE">
        <w:rPr>
          <w:rFonts w:ascii="Times New Roman" w:hAnsi="Times New Roman" w:cs="Times New Roman"/>
          <w:sz w:val="24"/>
          <w:szCs w:val="24"/>
        </w:rPr>
        <w:t>s and see where you stand with respect to the average as well as those in</w:t>
      </w:r>
      <w:r w:rsidR="00295E95">
        <w:rPr>
          <w:rFonts w:ascii="Times New Roman" w:hAnsi="Times New Roman" w:cs="Times New Roman"/>
          <w:sz w:val="24"/>
          <w:szCs w:val="24"/>
        </w:rPr>
        <w:t xml:space="preserve"> </w:t>
      </w:r>
      <w:r w:rsidR="000676FE">
        <w:rPr>
          <w:rFonts w:ascii="Times New Roman" w:hAnsi="Times New Roman" w:cs="Times New Roman"/>
          <w:sz w:val="24"/>
          <w:szCs w:val="24"/>
        </w:rPr>
        <w:t xml:space="preserve">the </w:t>
      </w:r>
      <w:r w:rsidR="00295E95">
        <w:rPr>
          <w:rFonts w:ascii="Times New Roman" w:hAnsi="Times New Roman" w:cs="Times New Roman"/>
          <w:sz w:val="24"/>
          <w:szCs w:val="24"/>
        </w:rPr>
        <w:t>l</w:t>
      </w:r>
      <w:r w:rsidR="00BC7BC3">
        <w:rPr>
          <w:rFonts w:ascii="Times New Roman" w:hAnsi="Times New Roman" w:cs="Times New Roman"/>
          <w:sz w:val="24"/>
          <w:szCs w:val="24"/>
        </w:rPr>
        <w:t>ow 20%, middle</w:t>
      </w:r>
      <w:r w:rsidR="00FA7F73">
        <w:rPr>
          <w:rFonts w:ascii="Times New Roman" w:hAnsi="Times New Roman" w:cs="Times New Roman"/>
          <w:sz w:val="24"/>
          <w:szCs w:val="24"/>
        </w:rPr>
        <w:t xml:space="preserve"> 40-60%</w:t>
      </w:r>
      <w:r w:rsidR="00BC7BC3">
        <w:rPr>
          <w:rFonts w:ascii="Times New Roman" w:hAnsi="Times New Roman" w:cs="Times New Roman"/>
          <w:sz w:val="24"/>
          <w:szCs w:val="24"/>
        </w:rPr>
        <w:t xml:space="preserve">, </w:t>
      </w:r>
      <w:r w:rsidR="00295E95">
        <w:rPr>
          <w:rFonts w:ascii="Times New Roman" w:hAnsi="Times New Roman" w:cs="Times New Roman"/>
          <w:sz w:val="24"/>
          <w:szCs w:val="24"/>
        </w:rPr>
        <w:t xml:space="preserve">and </w:t>
      </w:r>
      <w:r w:rsidR="00BC7BC3">
        <w:rPr>
          <w:rFonts w:ascii="Times New Roman" w:hAnsi="Times New Roman" w:cs="Times New Roman"/>
          <w:sz w:val="24"/>
          <w:szCs w:val="24"/>
        </w:rPr>
        <w:t>high 20%</w:t>
      </w:r>
      <w:r w:rsidR="000676FE">
        <w:rPr>
          <w:rFonts w:ascii="Times New Roman" w:hAnsi="Times New Roman" w:cs="Times New Roman"/>
          <w:sz w:val="24"/>
          <w:szCs w:val="24"/>
        </w:rPr>
        <w:t xml:space="preserve"> levels of profitability.</w:t>
      </w:r>
    </w:p>
    <w:p w14:paraId="6074E955" w14:textId="6B0A7806" w:rsidR="001348F9" w:rsidRDefault="003D5076" w:rsidP="002C5F47">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The chart below shows </w:t>
      </w:r>
      <w:r w:rsidR="000676FE">
        <w:rPr>
          <w:rFonts w:ascii="Times New Roman" w:hAnsi="Times New Roman" w:cs="Times New Roman"/>
          <w:sz w:val="24"/>
          <w:szCs w:val="24"/>
        </w:rPr>
        <w:t xml:space="preserve">2019 spring wheat </w:t>
      </w:r>
      <w:r>
        <w:rPr>
          <w:rFonts w:ascii="Times New Roman" w:hAnsi="Times New Roman" w:cs="Times New Roman"/>
          <w:sz w:val="24"/>
          <w:szCs w:val="24"/>
        </w:rPr>
        <w:t xml:space="preserve">returns </w:t>
      </w:r>
      <w:r w:rsidR="003420B4">
        <w:rPr>
          <w:rFonts w:ascii="Times New Roman" w:hAnsi="Times New Roman" w:cs="Times New Roman"/>
          <w:sz w:val="24"/>
          <w:szCs w:val="24"/>
        </w:rPr>
        <w:t>from 145 enterprises on</w:t>
      </w:r>
      <w:r w:rsidR="000676FE">
        <w:rPr>
          <w:rFonts w:ascii="Times New Roman" w:hAnsi="Times New Roman" w:cs="Times New Roman"/>
          <w:sz w:val="24"/>
          <w:szCs w:val="24"/>
        </w:rPr>
        <w:t xml:space="preserve"> cash rented land in North Dakota</w:t>
      </w:r>
      <w:r>
        <w:rPr>
          <w:rFonts w:ascii="Times New Roman" w:hAnsi="Times New Roman" w:cs="Times New Roman"/>
          <w:sz w:val="24"/>
          <w:szCs w:val="24"/>
        </w:rPr>
        <w:t>. You can see that spring wheat</w:t>
      </w:r>
      <w:r w:rsidR="000676FE">
        <w:rPr>
          <w:rFonts w:ascii="Times New Roman" w:hAnsi="Times New Roman" w:cs="Times New Roman"/>
          <w:sz w:val="24"/>
          <w:szCs w:val="24"/>
        </w:rPr>
        <w:t xml:space="preserve"> </w:t>
      </w:r>
      <w:r w:rsidR="009C5EBA">
        <w:rPr>
          <w:rFonts w:ascii="Times New Roman" w:hAnsi="Times New Roman" w:cs="Times New Roman"/>
          <w:sz w:val="24"/>
          <w:szCs w:val="24"/>
        </w:rPr>
        <w:t>gave</w:t>
      </w:r>
      <w:r w:rsidR="000676FE">
        <w:rPr>
          <w:rFonts w:ascii="Times New Roman" w:hAnsi="Times New Roman" w:cs="Times New Roman"/>
          <w:sz w:val="24"/>
          <w:szCs w:val="24"/>
        </w:rPr>
        <w:t xml:space="preserve"> an average net return over labor and management of $19.59/acre with returns of </w:t>
      </w:r>
      <w:r w:rsidR="009C5EBA">
        <w:rPr>
          <w:rFonts w:ascii="Times New Roman" w:hAnsi="Times New Roman" w:cs="Times New Roman"/>
          <w:sz w:val="24"/>
          <w:szCs w:val="24"/>
        </w:rPr>
        <w:t>−</w:t>
      </w:r>
      <w:r w:rsidR="000676FE">
        <w:rPr>
          <w:rFonts w:ascii="Times New Roman" w:hAnsi="Times New Roman" w:cs="Times New Roman"/>
          <w:sz w:val="24"/>
          <w:szCs w:val="24"/>
        </w:rPr>
        <w:t>$98.05/acre, $7.74/acre, and $93.36/acre for the low, middle, and high 20%</w:t>
      </w:r>
      <w:r w:rsidR="009C5EBA">
        <w:rPr>
          <w:rFonts w:ascii="Times New Roman" w:hAnsi="Times New Roman" w:cs="Times New Roman"/>
          <w:sz w:val="24"/>
          <w:szCs w:val="24"/>
        </w:rPr>
        <w:t xml:space="preserve"> profitab</w:t>
      </w:r>
      <w:r w:rsidR="001348F9">
        <w:rPr>
          <w:rFonts w:ascii="Times New Roman" w:hAnsi="Times New Roman" w:cs="Times New Roman"/>
          <w:sz w:val="24"/>
          <w:szCs w:val="24"/>
        </w:rPr>
        <w:t>ility groups</w:t>
      </w:r>
      <w:r w:rsidR="009C5EBA">
        <w:rPr>
          <w:rFonts w:ascii="Times New Roman" w:hAnsi="Times New Roman" w:cs="Times New Roman"/>
          <w:sz w:val="24"/>
          <w:szCs w:val="24"/>
        </w:rPr>
        <w:t xml:space="preserve">, respectively. Yields, prices, </w:t>
      </w:r>
      <w:r w:rsidR="00CE0D5B">
        <w:rPr>
          <w:rFonts w:ascii="Times New Roman" w:hAnsi="Times New Roman" w:cs="Times New Roman"/>
          <w:sz w:val="24"/>
          <w:szCs w:val="24"/>
        </w:rPr>
        <w:t xml:space="preserve">crop </w:t>
      </w:r>
      <w:r w:rsidR="009C5EBA">
        <w:rPr>
          <w:rFonts w:ascii="Times New Roman" w:hAnsi="Times New Roman" w:cs="Times New Roman"/>
          <w:sz w:val="24"/>
          <w:szCs w:val="24"/>
        </w:rPr>
        <w:t>insurance, government payments, and costs can all be analyzed at each profitability level to see where your operation fits.</w:t>
      </w:r>
      <w:r w:rsidR="001348F9">
        <w:rPr>
          <w:rFonts w:ascii="Times New Roman" w:hAnsi="Times New Roman" w:cs="Times New Roman"/>
          <w:sz w:val="24"/>
          <w:szCs w:val="24"/>
        </w:rPr>
        <w:t xml:space="preserve"> For instance, the low 20% of </w:t>
      </w:r>
      <w:r w:rsidR="00CE0D5B">
        <w:rPr>
          <w:rFonts w:ascii="Times New Roman" w:hAnsi="Times New Roman" w:cs="Times New Roman"/>
          <w:sz w:val="24"/>
          <w:szCs w:val="24"/>
        </w:rPr>
        <w:t>profitability</w:t>
      </w:r>
      <w:r w:rsidR="001348F9">
        <w:rPr>
          <w:rFonts w:ascii="Times New Roman" w:hAnsi="Times New Roman" w:cs="Times New Roman"/>
          <w:sz w:val="24"/>
          <w:szCs w:val="24"/>
        </w:rPr>
        <w:t xml:space="preserve"> had an average yield of 4</w:t>
      </w:r>
      <w:r w:rsidR="00CE0D5B">
        <w:rPr>
          <w:rFonts w:ascii="Times New Roman" w:hAnsi="Times New Roman" w:cs="Times New Roman"/>
          <w:sz w:val="24"/>
          <w:szCs w:val="24"/>
        </w:rPr>
        <w:t>2.83</w:t>
      </w:r>
      <w:r w:rsidR="001348F9">
        <w:rPr>
          <w:rFonts w:ascii="Times New Roman" w:hAnsi="Times New Roman" w:cs="Times New Roman"/>
          <w:sz w:val="24"/>
          <w:szCs w:val="24"/>
        </w:rPr>
        <w:t xml:space="preserve"> bu</w:t>
      </w:r>
      <w:r w:rsidR="00FC1CFA">
        <w:rPr>
          <w:rFonts w:ascii="Times New Roman" w:hAnsi="Times New Roman" w:cs="Times New Roman"/>
          <w:sz w:val="24"/>
          <w:szCs w:val="24"/>
        </w:rPr>
        <w:t>.</w:t>
      </w:r>
      <w:r w:rsidR="001348F9">
        <w:rPr>
          <w:rFonts w:ascii="Times New Roman" w:hAnsi="Times New Roman" w:cs="Times New Roman"/>
          <w:sz w:val="24"/>
          <w:szCs w:val="24"/>
        </w:rPr>
        <w:t>/ac</w:t>
      </w:r>
      <w:r w:rsidR="00FC1CFA">
        <w:rPr>
          <w:rFonts w:ascii="Times New Roman" w:hAnsi="Times New Roman" w:cs="Times New Roman"/>
          <w:sz w:val="24"/>
          <w:szCs w:val="24"/>
        </w:rPr>
        <w:t xml:space="preserve"> and selling price of $4.55/bu.;</w:t>
      </w:r>
      <w:r w:rsidR="001348F9">
        <w:rPr>
          <w:rFonts w:ascii="Times New Roman" w:hAnsi="Times New Roman" w:cs="Times New Roman"/>
          <w:sz w:val="24"/>
          <w:szCs w:val="24"/>
        </w:rPr>
        <w:t xml:space="preserve"> the high 20% produced 63</w:t>
      </w:r>
      <w:r w:rsidR="00CE0D5B">
        <w:rPr>
          <w:rFonts w:ascii="Times New Roman" w:hAnsi="Times New Roman" w:cs="Times New Roman"/>
          <w:sz w:val="24"/>
          <w:szCs w:val="24"/>
        </w:rPr>
        <w:t>.25</w:t>
      </w:r>
      <w:r w:rsidR="001348F9">
        <w:rPr>
          <w:rFonts w:ascii="Times New Roman" w:hAnsi="Times New Roman" w:cs="Times New Roman"/>
          <w:sz w:val="24"/>
          <w:szCs w:val="24"/>
        </w:rPr>
        <w:t xml:space="preserve"> bu</w:t>
      </w:r>
      <w:r w:rsidR="00FC1CFA">
        <w:rPr>
          <w:rFonts w:ascii="Times New Roman" w:hAnsi="Times New Roman" w:cs="Times New Roman"/>
          <w:sz w:val="24"/>
          <w:szCs w:val="24"/>
        </w:rPr>
        <w:t>.</w:t>
      </w:r>
      <w:r w:rsidR="001348F9">
        <w:rPr>
          <w:rFonts w:ascii="Times New Roman" w:hAnsi="Times New Roman" w:cs="Times New Roman"/>
          <w:sz w:val="24"/>
          <w:szCs w:val="24"/>
        </w:rPr>
        <w:t>/ac</w:t>
      </w:r>
      <w:r w:rsidR="00FC1CFA">
        <w:rPr>
          <w:rFonts w:ascii="Times New Roman" w:hAnsi="Times New Roman" w:cs="Times New Roman"/>
          <w:sz w:val="24"/>
          <w:szCs w:val="24"/>
        </w:rPr>
        <w:t xml:space="preserve"> with a selling price of $5.12/bu.;</w:t>
      </w:r>
      <w:r w:rsidR="001348F9">
        <w:rPr>
          <w:rFonts w:ascii="Times New Roman" w:hAnsi="Times New Roman" w:cs="Times New Roman"/>
          <w:sz w:val="24"/>
          <w:szCs w:val="24"/>
        </w:rPr>
        <w:t xml:space="preserve"> and the average </w:t>
      </w:r>
      <w:r w:rsidR="00FC1CFA">
        <w:rPr>
          <w:rFonts w:ascii="Times New Roman" w:hAnsi="Times New Roman" w:cs="Times New Roman"/>
          <w:sz w:val="24"/>
          <w:szCs w:val="24"/>
        </w:rPr>
        <w:t>produced</w:t>
      </w:r>
      <w:r w:rsidR="001348F9">
        <w:rPr>
          <w:rFonts w:ascii="Times New Roman" w:hAnsi="Times New Roman" w:cs="Times New Roman"/>
          <w:sz w:val="24"/>
          <w:szCs w:val="24"/>
        </w:rPr>
        <w:t xml:space="preserve"> 53</w:t>
      </w:r>
      <w:r w:rsidR="00CE0D5B">
        <w:rPr>
          <w:rFonts w:ascii="Times New Roman" w:hAnsi="Times New Roman" w:cs="Times New Roman"/>
          <w:sz w:val="24"/>
          <w:szCs w:val="24"/>
        </w:rPr>
        <w:t>.1</w:t>
      </w:r>
      <w:r w:rsidR="00AC2401">
        <w:rPr>
          <w:rFonts w:ascii="Times New Roman" w:hAnsi="Times New Roman" w:cs="Times New Roman"/>
          <w:sz w:val="24"/>
          <w:szCs w:val="24"/>
        </w:rPr>
        <w:t>0</w:t>
      </w:r>
      <w:r w:rsidR="001348F9">
        <w:rPr>
          <w:rFonts w:ascii="Times New Roman" w:hAnsi="Times New Roman" w:cs="Times New Roman"/>
          <w:sz w:val="24"/>
          <w:szCs w:val="24"/>
        </w:rPr>
        <w:t xml:space="preserve"> bu</w:t>
      </w:r>
      <w:r w:rsidR="00FC1CFA">
        <w:rPr>
          <w:rFonts w:ascii="Times New Roman" w:hAnsi="Times New Roman" w:cs="Times New Roman"/>
          <w:sz w:val="24"/>
          <w:szCs w:val="24"/>
        </w:rPr>
        <w:t>.</w:t>
      </w:r>
      <w:r w:rsidR="001348F9">
        <w:rPr>
          <w:rFonts w:ascii="Times New Roman" w:hAnsi="Times New Roman" w:cs="Times New Roman"/>
          <w:sz w:val="24"/>
          <w:szCs w:val="24"/>
        </w:rPr>
        <w:t>/ac</w:t>
      </w:r>
      <w:r w:rsidR="00FC1CFA">
        <w:rPr>
          <w:rFonts w:ascii="Times New Roman" w:hAnsi="Times New Roman" w:cs="Times New Roman"/>
          <w:sz w:val="24"/>
          <w:szCs w:val="24"/>
        </w:rPr>
        <w:t xml:space="preserve"> and sold at $4.90/bu</w:t>
      </w:r>
      <w:r w:rsidR="001348F9">
        <w:rPr>
          <w:rFonts w:ascii="Times New Roman" w:hAnsi="Times New Roman" w:cs="Times New Roman"/>
          <w:sz w:val="24"/>
          <w:szCs w:val="24"/>
        </w:rPr>
        <w:t>.</w:t>
      </w:r>
      <w:r w:rsidR="00FC1CFA">
        <w:rPr>
          <w:rFonts w:ascii="Times New Roman" w:hAnsi="Times New Roman" w:cs="Times New Roman"/>
          <w:sz w:val="24"/>
          <w:szCs w:val="24"/>
        </w:rPr>
        <w:t xml:space="preserve"> </w:t>
      </w:r>
    </w:p>
    <w:p w14:paraId="05A62099" w14:textId="1EEA7075" w:rsidR="009B7209" w:rsidRDefault="001348F9" w:rsidP="00C174D5">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This information can also be u</w:t>
      </w:r>
      <w:r w:rsidR="009C5EBA">
        <w:rPr>
          <w:rFonts w:ascii="Times New Roman" w:hAnsi="Times New Roman" w:cs="Times New Roman"/>
          <w:sz w:val="24"/>
          <w:szCs w:val="24"/>
        </w:rPr>
        <w:t>se</w:t>
      </w:r>
      <w:r>
        <w:rPr>
          <w:rFonts w:ascii="Times New Roman" w:hAnsi="Times New Roman" w:cs="Times New Roman"/>
          <w:sz w:val="24"/>
          <w:szCs w:val="24"/>
        </w:rPr>
        <w:t>d</w:t>
      </w:r>
      <w:r w:rsidR="009C5EBA">
        <w:rPr>
          <w:rFonts w:ascii="Times New Roman" w:hAnsi="Times New Roman" w:cs="Times New Roman"/>
          <w:sz w:val="24"/>
          <w:szCs w:val="24"/>
        </w:rPr>
        <w:t xml:space="preserve"> to make marketing decisions. When looking at the same spring wheat enterprise, we see that </w:t>
      </w:r>
      <w:r w:rsidR="001F22AF">
        <w:rPr>
          <w:rFonts w:ascii="Times New Roman" w:hAnsi="Times New Roman" w:cs="Times New Roman"/>
          <w:sz w:val="24"/>
          <w:szCs w:val="24"/>
        </w:rPr>
        <w:t xml:space="preserve">the </w:t>
      </w:r>
      <w:r w:rsidR="002B7E9A">
        <w:rPr>
          <w:rFonts w:ascii="Times New Roman" w:hAnsi="Times New Roman" w:cs="Times New Roman"/>
          <w:sz w:val="24"/>
          <w:szCs w:val="24"/>
        </w:rPr>
        <w:t xml:space="preserve">cost of production was $6.84/bu. for </w:t>
      </w:r>
      <w:r w:rsidR="009C5EBA">
        <w:rPr>
          <w:rFonts w:ascii="Times New Roman" w:hAnsi="Times New Roman" w:cs="Times New Roman"/>
          <w:sz w:val="24"/>
          <w:szCs w:val="24"/>
        </w:rPr>
        <w:t xml:space="preserve">the low 20% </w:t>
      </w:r>
      <w:r w:rsidR="002B7E9A">
        <w:rPr>
          <w:rFonts w:ascii="Times New Roman" w:hAnsi="Times New Roman" w:cs="Times New Roman"/>
          <w:sz w:val="24"/>
          <w:szCs w:val="24"/>
        </w:rPr>
        <w:t xml:space="preserve">profitability </w:t>
      </w:r>
      <w:r w:rsidR="009C5EBA">
        <w:rPr>
          <w:rFonts w:ascii="Times New Roman" w:hAnsi="Times New Roman" w:cs="Times New Roman"/>
          <w:sz w:val="24"/>
          <w:szCs w:val="24"/>
        </w:rPr>
        <w:t>level</w:t>
      </w:r>
      <w:r w:rsidR="00C174D5">
        <w:rPr>
          <w:rFonts w:ascii="Times New Roman" w:hAnsi="Times New Roman" w:cs="Times New Roman"/>
          <w:sz w:val="24"/>
          <w:szCs w:val="24"/>
        </w:rPr>
        <w:t xml:space="preserve">, $3.64/bu. for </w:t>
      </w:r>
      <w:r w:rsidR="002B7E9A">
        <w:rPr>
          <w:rFonts w:ascii="Times New Roman" w:hAnsi="Times New Roman" w:cs="Times New Roman"/>
          <w:sz w:val="24"/>
          <w:szCs w:val="24"/>
        </w:rPr>
        <w:t>the high 20%</w:t>
      </w:r>
      <w:r w:rsidR="00C174D5">
        <w:rPr>
          <w:rFonts w:ascii="Times New Roman" w:hAnsi="Times New Roman" w:cs="Times New Roman"/>
          <w:sz w:val="24"/>
          <w:szCs w:val="24"/>
        </w:rPr>
        <w:t>,</w:t>
      </w:r>
      <w:r w:rsidR="002B7E9A">
        <w:rPr>
          <w:rFonts w:ascii="Times New Roman" w:hAnsi="Times New Roman" w:cs="Times New Roman"/>
          <w:sz w:val="24"/>
          <w:szCs w:val="24"/>
        </w:rPr>
        <w:t xml:space="preserve"> and </w:t>
      </w:r>
      <w:r w:rsidR="00980A8F">
        <w:rPr>
          <w:rFonts w:ascii="Times New Roman" w:hAnsi="Times New Roman" w:cs="Times New Roman"/>
          <w:sz w:val="24"/>
          <w:szCs w:val="24"/>
        </w:rPr>
        <w:t xml:space="preserve">the average </w:t>
      </w:r>
      <w:r w:rsidR="002B7E9A">
        <w:rPr>
          <w:rFonts w:ascii="Times New Roman" w:hAnsi="Times New Roman" w:cs="Times New Roman"/>
          <w:sz w:val="24"/>
          <w:szCs w:val="24"/>
        </w:rPr>
        <w:t>cost of production was</w:t>
      </w:r>
      <w:r w:rsidR="00980A8F">
        <w:rPr>
          <w:rFonts w:ascii="Times New Roman" w:hAnsi="Times New Roman" w:cs="Times New Roman"/>
          <w:sz w:val="24"/>
          <w:szCs w:val="24"/>
        </w:rPr>
        <w:t xml:space="preserve"> $4.53/bu.</w:t>
      </w:r>
      <w:r w:rsidR="009C5EBA">
        <w:rPr>
          <w:rFonts w:ascii="Times New Roman" w:hAnsi="Times New Roman" w:cs="Times New Roman"/>
          <w:sz w:val="24"/>
          <w:szCs w:val="24"/>
        </w:rPr>
        <w:t xml:space="preserve"> </w:t>
      </w:r>
      <w:r w:rsidR="001F22AF">
        <w:rPr>
          <w:rFonts w:ascii="Times New Roman" w:hAnsi="Times New Roman" w:cs="Times New Roman"/>
          <w:sz w:val="24"/>
          <w:szCs w:val="24"/>
        </w:rPr>
        <w:t xml:space="preserve">Knowing the cost of production is important when developing a marketing plan. If your costs are higher than the current selling price, evaluate your opportunities to lower costs or increase production. </w:t>
      </w:r>
      <w:r w:rsidR="00386CDA">
        <w:rPr>
          <w:rFonts w:ascii="Times New Roman" w:hAnsi="Times New Roman" w:cs="Times New Roman"/>
          <w:sz w:val="24"/>
          <w:szCs w:val="24"/>
        </w:rPr>
        <w:t>Benchmarking costs such as fertilizer, seed, land rent, or machinery costs can help you make these decisions.</w:t>
      </w:r>
      <w:r w:rsidR="001F22AF">
        <w:rPr>
          <w:rFonts w:ascii="Times New Roman" w:hAnsi="Times New Roman" w:cs="Times New Roman"/>
          <w:sz w:val="24"/>
          <w:szCs w:val="24"/>
        </w:rPr>
        <w:t xml:space="preserve"> </w:t>
      </w:r>
    </w:p>
    <w:p w14:paraId="22E8FEB7" w14:textId="77777777" w:rsidR="00176FD0" w:rsidRDefault="00176FD0" w:rsidP="00C174D5">
      <w:pPr>
        <w:spacing w:after="0" w:line="480" w:lineRule="auto"/>
        <w:ind w:firstLine="720"/>
        <w:contextualSpacing/>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2"/>
        <w:gridCol w:w="1460"/>
        <w:gridCol w:w="1733"/>
        <w:gridCol w:w="1459"/>
        <w:gridCol w:w="1143"/>
        <w:gridCol w:w="1603"/>
      </w:tblGrid>
      <w:tr w:rsidR="009B3561" w14:paraId="5D28B099" w14:textId="77777777" w:rsidTr="00C174D5">
        <w:tc>
          <w:tcPr>
            <w:tcW w:w="9360" w:type="dxa"/>
            <w:gridSpan w:val="6"/>
            <w:tcBorders>
              <w:bottom w:val="single" w:sz="4" w:space="0" w:color="auto"/>
            </w:tcBorders>
          </w:tcPr>
          <w:p w14:paraId="7345F082" w14:textId="793B8AA3" w:rsidR="009B3561" w:rsidRDefault="009B3561" w:rsidP="009017B5">
            <w:pPr>
              <w:spacing w:before="120" w:after="120"/>
              <w:rPr>
                <w:rFonts w:ascii="Times New Roman" w:hAnsi="Times New Roman" w:cs="Times New Roman"/>
                <w:sz w:val="24"/>
                <w:szCs w:val="24"/>
              </w:rPr>
            </w:pPr>
            <w:r>
              <w:rPr>
                <w:rFonts w:ascii="Times New Roman" w:hAnsi="Times New Roman" w:cs="Times New Roman"/>
                <w:sz w:val="24"/>
                <w:szCs w:val="24"/>
              </w:rPr>
              <w:lastRenderedPageBreak/>
              <w:t>2019 North Dakota Spring Wheat Returns ($) on Cash Rented Land, Sorted by Net Return</w:t>
            </w:r>
            <w:r w:rsidR="002B7E9A">
              <w:rPr>
                <w:rFonts w:ascii="Times New Roman" w:hAnsi="Times New Roman" w:cs="Times New Roman"/>
                <w:sz w:val="24"/>
                <w:szCs w:val="24"/>
              </w:rPr>
              <w:t xml:space="preserve"> accessed from </w:t>
            </w:r>
            <w:hyperlink r:id="rId8" w:history="1">
              <w:r w:rsidR="002B7E9A" w:rsidRPr="006D5EFD">
                <w:rPr>
                  <w:rStyle w:val="Hyperlink"/>
                  <w:rFonts w:ascii="Times New Roman" w:hAnsi="Times New Roman" w:cs="Times New Roman"/>
                  <w:sz w:val="24"/>
                  <w:szCs w:val="24"/>
                </w:rPr>
                <w:t>http://www.ndfarmmanagement.com/reports.html</w:t>
              </w:r>
            </w:hyperlink>
            <w:r w:rsidR="002B7E9A">
              <w:rPr>
                <w:rFonts w:ascii="Times New Roman" w:hAnsi="Times New Roman" w:cs="Times New Roman"/>
                <w:sz w:val="24"/>
                <w:szCs w:val="24"/>
              </w:rPr>
              <w:t xml:space="preserve">. </w:t>
            </w:r>
          </w:p>
        </w:tc>
      </w:tr>
      <w:tr w:rsidR="009B3561" w14:paraId="43CE4BB1" w14:textId="77777777" w:rsidTr="009B3561">
        <w:tc>
          <w:tcPr>
            <w:tcW w:w="3422" w:type="dxa"/>
            <w:gridSpan w:val="2"/>
            <w:tcBorders>
              <w:top w:val="single" w:sz="4" w:space="0" w:color="auto"/>
              <w:bottom w:val="single" w:sz="4" w:space="0" w:color="auto"/>
            </w:tcBorders>
            <w:shd w:val="clear" w:color="auto" w:fill="auto"/>
          </w:tcPr>
          <w:p w14:paraId="4C740CF6" w14:textId="77777777" w:rsidR="009B3561" w:rsidRDefault="009B3561" w:rsidP="009017B5">
            <w:pPr>
              <w:contextualSpacing/>
              <w:rPr>
                <w:rFonts w:ascii="Times New Roman" w:hAnsi="Times New Roman" w:cs="Times New Roman"/>
                <w:sz w:val="24"/>
                <w:szCs w:val="24"/>
              </w:rPr>
            </w:pPr>
          </w:p>
        </w:tc>
        <w:tc>
          <w:tcPr>
            <w:tcW w:w="1733" w:type="dxa"/>
            <w:tcBorders>
              <w:top w:val="single" w:sz="4" w:space="0" w:color="auto"/>
              <w:bottom w:val="single" w:sz="4" w:space="0" w:color="auto"/>
            </w:tcBorders>
            <w:shd w:val="clear" w:color="auto" w:fill="auto"/>
            <w:vAlign w:val="center"/>
          </w:tcPr>
          <w:p w14:paraId="1B220473" w14:textId="091D4C17" w:rsidR="009B3561" w:rsidRDefault="009B3561" w:rsidP="009017B5">
            <w:pPr>
              <w:contextualSpacing/>
              <w:jc w:val="right"/>
              <w:rPr>
                <w:rFonts w:ascii="Times New Roman" w:hAnsi="Times New Roman" w:cs="Times New Roman"/>
                <w:sz w:val="24"/>
                <w:szCs w:val="24"/>
              </w:rPr>
            </w:pPr>
            <w:r>
              <w:rPr>
                <w:rFonts w:ascii="Times New Roman" w:hAnsi="Times New Roman" w:cs="Times New Roman"/>
                <w:sz w:val="24"/>
                <w:szCs w:val="24"/>
              </w:rPr>
              <w:t>Avg. of All Farms</w:t>
            </w:r>
          </w:p>
        </w:tc>
        <w:tc>
          <w:tcPr>
            <w:tcW w:w="1459" w:type="dxa"/>
            <w:tcBorders>
              <w:top w:val="single" w:sz="4" w:space="0" w:color="auto"/>
              <w:bottom w:val="single" w:sz="4" w:space="0" w:color="auto"/>
            </w:tcBorders>
            <w:shd w:val="clear" w:color="auto" w:fill="auto"/>
            <w:vAlign w:val="center"/>
          </w:tcPr>
          <w:p w14:paraId="03116368" w14:textId="534D586D" w:rsidR="009B3561" w:rsidRDefault="009B3561" w:rsidP="009017B5">
            <w:pPr>
              <w:contextualSpacing/>
              <w:jc w:val="right"/>
              <w:rPr>
                <w:rFonts w:ascii="Times New Roman" w:hAnsi="Times New Roman" w:cs="Times New Roman"/>
                <w:sz w:val="24"/>
                <w:szCs w:val="24"/>
              </w:rPr>
            </w:pPr>
            <w:r>
              <w:rPr>
                <w:rFonts w:ascii="Times New Roman" w:hAnsi="Times New Roman" w:cs="Times New Roman"/>
                <w:sz w:val="24"/>
                <w:szCs w:val="24"/>
              </w:rPr>
              <w:t>Low 20%</w:t>
            </w:r>
          </w:p>
        </w:tc>
        <w:tc>
          <w:tcPr>
            <w:tcW w:w="1143" w:type="dxa"/>
            <w:tcBorders>
              <w:top w:val="single" w:sz="4" w:space="0" w:color="auto"/>
              <w:bottom w:val="single" w:sz="4" w:space="0" w:color="auto"/>
            </w:tcBorders>
            <w:vAlign w:val="center"/>
          </w:tcPr>
          <w:p w14:paraId="683242BF" w14:textId="5FD0A256" w:rsidR="009B3561" w:rsidRDefault="009B3561" w:rsidP="009B3561">
            <w:pPr>
              <w:contextualSpacing/>
              <w:jc w:val="right"/>
              <w:rPr>
                <w:rFonts w:ascii="Times New Roman" w:hAnsi="Times New Roman" w:cs="Times New Roman"/>
                <w:sz w:val="24"/>
                <w:szCs w:val="24"/>
              </w:rPr>
            </w:pPr>
            <w:r>
              <w:rPr>
                <w:rFonts w:ascii="Times New Roman" w:hAnsi="Times New Roman" w:cs="Times New Roman"/>
                <w:sz w:val="24"/>
                <w:szCs w:val="24"/>
              </w:rPr>
              <w:t>40 - 60%</w:t>
            </w:r>
          </w:p>
        </w:tc>
        <w:tc>
          <w:tcPr>
            <w:tcW w:w="1603" w:type="dxa"/>
            <w:tcBorders>
              <w:top w:val="single" w:sz="4" w:space="0" w:color="auto"/>
              <w:bottom w:val="single" w:sz="4" w:space="0" w:color="auto"/>
            </w:tcBorders>
            <w:shd w:val="clear" w:color="auto" w:fill="auto"/>
            <w:vAlign w:val="center"/>
          </w:tcPr>
          <w:p w14:paraId="4D1F4607" w14:textId="523C23B2" w:rsidR="009B3561" w:rsidRDefault="009B3561" w:rsidP="009017B5">
            <w:pPr>
              <w:contextualSpacing/>
              <w:jc w:val="right"/>
              <w:rPr>
                <w:rFonts w:ascii="Times New Roman" w:hAnsi="Times New Roman" w:cs="Times New Roman"/>
                <w:sz w:val="24"/>
                <w:szCs w:val="24"/>
              </w:rPr>
            </w:pPr>
            <w:r>
              <w:rPr>
                <w:rFonts w:ascii="Times New Roman" w:hAnsi="Times New Roman" w:cs="Times New Roman"/>
                <w:sz w:val="24"/>
                <w:szCs w:val="24"/>
              </w:rPr>
              <w:t>High 20%</w:t>
            </w:r>
          </w:p>
        </w:tc>
      </w:tr>
      <w:tr w:rsidR="009B3561" w14:paraId="0A8000DF" w14:textId="77777777" w:rsidTr="009B3561">
        <w:tc>
          <w:tcPr>
            <w:tcW w:w="3422" w:type="dxa"/>
            <w:gridSpan w:val="2"/>
            <w:tcBorders>
              <w:top w:val="single" w:sz="4" w:space="0" w:color="auto"/>
            </w:tcBorders>
            <w:shd w:val="clear" w:color="auto" w:fill="auto"/>
            <w:vAlign w:val="center"/>
          </w:tcPr>
          <w:p w14:paraId="5C3AAB47" w14:textId="271CB898" w:rsidR="009B3561" w:rsidRDefault="009B3561" w:rsidP="009017B5">
            <w:pPr>
              <w:spacing w:after="120"/>
              <w:rPr>
                <w:rFonts w:ascii="Times New Roman" w:hAnsi="Times New Roman" w:cs="Times New Roman"/>
                <w:sz w:val="24"/>
                <w:szCs w:val="24"/>
              </w:rPr>
            </w:pPr>
            <w:r>
              <w:rPr>
                <w:rFonts w:ascii="Times New Roman" w:hAnsi="Times New Roman" w:cs="Times New Roman"/>
                <w:sz w:val="24"/>
                <w:szCs w:val="24"/>
              </w:rPr>
              <w:t>Yield per acre (bu.)</w:t>
            </w:r>
          </w:p>
        </w:tc>
        <w:tc>
          <w:tcPr>
            <w:tcW w:w="1733" w:type="dxa"/>
            <w:tcBorders>
              <w:top w:val="single" w:sz="4" w:space="0" w:color="auto"/>
            </w:tcBorders>
            <w:shd w:val="clear" w:color="auto" w:fill="auto"/>
            <w:vAlign w:val="center"/>
          </w:tcPr>
          <w:p w14:paraId="51C9A4CC" w14:textId="3601DC6C" w:rsidR="009B3561" w:rsidRDefault="009B3561" w:rsidP="009017B5">
            <w:pPr>
              <w:spacing w:after="120"/>
              <w:jc w:val="right"/>
              <w:rPr>
                <w:rFonts w:ascii="Times New Roman" w:hAnsi="Times New Roman" w:cs="Times New Roman"/>
                <w:sz w:val="24"/>
                <w:szCs w:val="24"/>
              </w:rPr>
            </w:pPr>
            <w:r>
              <w:rPr>
                <w:rFonts w:ascii="Times New Roman" w:hAnsi="Times New Roman" w:cs="Times New Roman"/>
                <w:sz w:val="24"/>
                <w:szCs w:val="24"/>
              </w:rPr>
              <w:t>53.10</w:t>
            </w:r>
          </w:p>
        </w:tc>
        <w:tc>
          <w:tcPr>
            <w:tcW w:w="1459" w:type="dxa"/>
            <w:tcBorders>
              <w:top w:val="single" w:sz="4" w:space="0" w:color="auto"/>
            </w:tcBorders>
            <w:shd w:val="clear" w:color="auto" w:fill="auto"/>
            <w:vAlign w:val="center"/>
          </w:tcPr>
          <w:p w14:paraId="3FC4166D" w14:textId="0197FF5A" w:rsidR="009B3561" w:rsidRDefault="009B3561" w:rsidP="009017B5">
            <w:pPr>
              <w:spacing w:after="120"/>
              <w:jc w:val="right"/>
              <w:rPr>
                <w:rFonts w:ascii="Times New Roman" w:hAnsi="Times New Roman" w:cs="Times New Roman"/>
                <w:sz w:val="24"/>
                <w:szCs w:val="24"/>
              </w:rPr>
            </w:pPr>
            <w:r>
              <w:rPr>
                <w:rFonts w:ascii="Times New Roman" w:hAnsi="Times New Roman" w:cs="Times New Roman"/>
                <w:sz w:val="24"/>
                <w:szCs w:val="24"/>
              </w:rPr>
              <w:t>42.83</w:t>
            </w:r>
          </w:p>
        </w:tc>
        <w:tc>
          <w:tcPr>
            <w:tcW w:w="1143" w:type="dxa"/>
            <w:tcBorders>
              <w:top w:val="single" w:sz="4" w:space="0" w:color="auto"/>
            </w:tcBorders>
            <w:vAlign w:val="center"/>
          </w:tcPr>
          <w:p w14:paraId="4C2F0881" w14:textId="4381E5D4" w:rsidR="009B3561" w:rsidRDefault="009B3561" w:rsidP="009B3561">
            <w:pPr>
              <w:spacing w:after="120"/>
              <w:jc w:val="right"/>
              <w:rPr>
                <w:rFonts w:ascii="Times New Roman" w:hAnsi="Times New Roman" w:cs="Times New Roman"/>
                <w:sz w:val="24"/>
                <w:szCs w:val="24"/>
              </w:rPr>
            </w:pPr>
            <w:r w:rsidRPr="009B3561">
              <w:rPr>
                <w:rFonts w:ascii="Times New Roman" w:hAnsi="Times New Roman" w:cs="Times New Roman"/>
                <w:sz w:val="24"/>
                <w:szCs w:val="24"/>
              </w:rPr>
              <w:t>55.01</w:t>
            </w:r>
          </w:p>
        </w:tc>
        <w:tc>
          <w:tcPr>
            <w:tcW w:w="1603" w:type="dxa"/>
            <w:tcBorders>
              <w:top w:val="single" w:sz="4" w:space="0" w:color="auto"/>
            </w:tcBorders>
            <w:shd w:val="clear" w:color="auto" w:fill="auto"/>
            <w:vAlign w:val="center"/>
          </w:tcPr>
          <w:p w14:paraId="609D3826" w14:textId="6B37867B" w:rsidR="009B3561" w:rsidRDefault="009B3561" w:rsidP="009B3561">
            <w:pPr>
              <w:spacing w:after="120"/>
              <w:jc w:val="right"/>
              <w:rPr>
                <w:rFonts w:ascii="Times New Roman" w:hAnsi="Times New Roman" w:cs="Times New Roman"/>
                <w:sz w:val="24"/>
                <w:szCs w:val="24"/>
              </w:rPr>
            </w:pPr>
            <w:r>
              <w:rPr>
                <w:rFonts w:ascii="Times New Roman" w:hAnsi="Times New Roman" w:cs="Times New Roman"/>
                <w:sz w:val="24"/>
                <w:szCs w:val="24"/>
              </w:rPr>
              <w:t>63.25</w:t>
            </w:r>
          </w:p>
        </w:tc>
      </w:tr>
      <w:tr w:rsidR="009B3561" w14:paraId="5A253829" w14:textId="77777777" w:rsidTr="009B3561">
        <w:tc>
          <w:tcPr>
            <w:tcW w:w="3422" w:type="dxa"/>
            <w:gridSpan w:val="2"/>
            <w:shd w:val="clear" w:color="auto" w:fill="auto"/>
            <w:vAlign w:val="center"/>
          </w:tcPr>
          <w:p w14:paraId="6BAE102C" w14:textId="1BE3E030" w:rsidR="009B3561" w:rsidRDefault="009B3561" w:rsidP="009017B5">
            <w:pPr>
              <w:spacing w:after="120"/>
              <w:rPr>
                <w:rFonts w:ascii="Times New Roman" w:hAnsi="Times New Roman" w:cs="Times New Roman"/>
                <w:sz w:val="24"/>
                <w:szCs w:val="24"/>
              </w:rPr>
            </w:pPr>
            <w:r>
              <w:rPr>
                <w:rFonts w:ascii="Times New Roman" w:hAnsi="Times New Roman" w:cs="Times New Roman"/>
                <w:sz w:val="24"/>
                <w:szCs w:val="24"/>
              </w:rPr>
              <w:t>Value per bu. ($/bu.)</w:t>
            </w:r>
          </w:p>
        </w:tc>
        <w:tc>
          <w:tcPr>
            <w:tcW w:w="1733" w:type="dxa"/>
            <w:shd w:val="clear" w:color="auto" w:fill="auto"/>
            <w:vAlign w:val="center"/>
          </w:tcPr>
          <w:p w14:paraId="0FAF6BC9" w14:textId="2DF48E0E" w:rsidR="009B3561" w:rsidRDefault="009B3561" w:rsidP="009017B5">
            <w:pPr>
              <w:spacing w:after="120"/>
              <w:jc w:val="right"/>
              <w:rPr>
                <w:rFonts w:ascii="Times New Roman" w:hAnsi="Times New Roman" w:cs="Times New Roman"/>
                <w:sz w:val="24"/>
                <w:szCs w:val="24"/>
              </w:rPr>
            </w:pPr>
            <w:r>
              <w:rPr>
                <w:rFonts w:ascii="Times New Roman" w:hAnsi="Times New Roman" w:cs="Times New Roman"/>
                <w:sz w:val="24"/>
                <w:szCs w:val="24"/>
              </w:rPr>
              <w:t>4.90</w:t>
            </w:r>
          </w:p>
        </w:tc>
        <w:tc>
          <w:tcPr>
            <w:tcW w:w="1459" w:type="dxa"/>
            <w:shd w:val="clear" w:color="auto" w:fill="auto"/>
            <w:vAlign w:val="center"/>
          </w:tcPr>
          <w:p w14:paraId="57C6C4FA" w14:textId="02A1F9E3" w:rsidR="009B3561" w:rsidRDefault="009B3561" w:rsidP="009017B5">
            <w:pPr>
              <w:spacing w:after="120"/>
              <w:jc w:val="right"/>
              <w:rPr>
                <w:rFonts w:ascii="Times New Roman" w:hAnsi="Times New Roman" w:cs="Times New Roman"/>
                <w:sz w:val="24"/>
                <w:szCs w:val="24"/>
              </w:rPr>
            </w:pPr>
            <w:r>
              <w:rPr>
                <w:rFonts w:ascii="Times New Roman" w:hAnsi="Times New Roman" w:cs="Times New Roman"/>
                <w:sz w:val="24"/>
                <w:szCs w:val="24"/>
              </w:rPr>
              <w:t>4.55</w:t>
            </w:r>
          </w:p>
        </w:tc>
        <w:tc>
          <w:tcPr>
            <w:tcW w:w="1143" w:type="dxa"/>
            <w:vAlign w:val="center"/>
          </w:tcPr>
          <w:p w14:paraId="40B52FB7" w14:textId="03660F61" w:rsidR="009B3561" w:rsidRDefault="009B3561" w:rsidP="009B3561">
            <w:pPr>
              <w:spacing w:after="120"/>
              <w:jc w:val="right"/>
              <w:rPr>
                <w:rFonts w:ascii="Times New Roman" w:hAnsi="Times New Roman" w:cs="Times New Roman"/>
                <w:sz w:val="24"/>
                <w:szCs w:val="24"/>
              </w:rPr>
            </w:pPr>
            <w:r>
              <w:rPr>
                <w:rFonts w:ascii="Times New Roman" w:hAnsi="Times New Roman" w:cs="Times New Roman"/>
                <w:sz w:val="24"/>
                <w:szCs w:val="24"/>
              </w:rPr>
              <w:t>4.86</w:t>
            </w:r>
          </w:p>
        </w:tc>
        <w:tc>
          <w:tcPr>
            <w:tcW w:w="1603" w:type="dxa"/>
            <w:shd w:val="clear" w:color="auto" w:fill="auto"/>
            <w:vAlign w:val="center"/>
          </w:tcPr>
          <w:p w14:paraId="7F7F852E" w14:textId="43662563" w:rsidR="009B3561" w:rsidRDefault="009B3561" w:rsidP="009B3561">
            <w:pPr>
              <w:spacing w:after="120"/>
              <w:jc w:val="right"/>
              <w:rPr>
                <w:rFonts w:ascii="Times New Roman" w:hAnsi="Times New Roman" w:cs="Times New Roman"/>
                <w:sz w:val="24"/>
                <w:szCs w:val="24"/>
              </w:rPr>
            </w:pPr>
            <w:r>
              <w:rPr>
                <w:rFonts w:ascii="Times New Roman" w:hAnsi="Times New Roman" w:cs="Times New Roman"/>
                <w:sz w:val="24"/>
                <w:szCs w:val="24"/>
              </w:rPr>
              <w:t>5.12</w:t>
            </w:r>
          </w:p>
        </w:tc>
      </w:tr>
      <w:tr w:rsidR="009B3561" w14:paraId="370F6533" w14:textId="77777777" w:rsidTr="009B3561">
        <w:tc>
          <w:tcPr>
            <w:tcW w:w="3422" w:type="dxa"/>
            <w:gridSpan w:val="2"/>
            <w:shd w:val="clear" w:color="auto" w:fill="auto"/>
            <w:vAlign w:val="center"/>
          </w:tcPr>
          <w:p w14:paraId="60E85FE0" w14:textId="4199C301" w:rsidR="009B3561" w:rsidRDefault="009B3561" w:rsidP="009017B5">
            <w:pPr>
              <w:spacing w:after="120"/>
              <w:rPr>
                <w:rFonts w:ascii="Times New Roman" w:hAnsi="Times New Roman" w:cs="Times New Roman"/>
                <w:sz w:val="24"/>
                <w:szCs w:val="24"/>
              </w:rPr>
            </w:pPr>
            <w:r>
              <w:rPr>
                <w:rFonts w:ascii="Times New Roman" w:hAnsi="Times New Roman" w:cs="Times New Roman"/>
                <w:sz w:val="24"/>
                <w:szCs w:val="24"/>
              </w:rPr>
              <w:t>Gross return per acre ($) **</w:t>
            </w:r>
          </w:p>
        </w:tc>
        <w:tc>
          <w:tcPr>
            <w:tcW w:w="1733" w:type="dxa"/>
            <w:shd w:val="clear" w:color="auto" w:fill="auto"/>
            <w:vAlign w:val="center"/>
          </w:tcPr>
          <w:p w14:paraId="4DB2EC31" w14:textId="6832DC8C" w:rsidR="009B3561" w:rsidRDefault="009B3561" w:rsidP="009017B5">
            <w:pPr>
              <w:spacing w:after="120"/>
              <w:jc w:val="right"/>
              <w:rPr>
                <w:rFonts w:ascii="Times New Roman" w:hAnsi="Times New Roman" w:cs="Times New Roman"/>
                <w:sz w:val="24"/>
                <w:szCs w:val="24"/>
              </w:rPr>
            </w:pPr>
            <w:r>
              <w:rPr>
                <w:rFonts w:ascii="Times New Roman" w:hAnsi="Times New Roman" w:cs="Times New Roman"/>
                <w:sz w:val="24"/>
                <w:szCs w:val="24"/>
              </w:rPr>
              <w:t>323.44</w:t>
            </w:r>
          </w:p>
        </w:tc>
        <w:tc>
          <w:tcPr>
            <w:tcW w:w="1459" w:type="dxa"/>
            <w:shd w:val="clear" w:color="auto" w:fill="auto"/>
            <w:vAlign w:val="center"/>
          </w:tcPr>
          <w:p w14:paraId="641BE924" w14:textId="50FF04D1" w:rsidR="009B3561" w:rsidRDefault="009B3561" w:rsidP="009017B5">
            <w:pPr>
              <w:spacing w:after="120"/>
              <w:jc w:val="right"/>
              <w:rPr>
                <w:rFonts w:ascii="Times New Roman" w:hAnsi="Times New Roman" w:cs="Times New Roman"/>
                <w:sz w:val="24"/>
                <w:szCs w:val="24"/>
              </w:rPr>
            </w:pPr>
            <w:r>
              <w:rPr>
                <w:rFonts w:ascii="Times New Roman" w:hAnsi="Times New Roman" w:cs="Times New Roman"/>
                <w:sz w:val="24"/>
                <w:szCs w:val="24"/>
              </w:rPr>
              <w:t>283.93</w:t>
            </w:r>
          </w:p>
        </w:tc>
        <w:tc>
          <w:tcPr>
            <w:tcW w:w="1143" w:type="dxa"/>
            <w:vAlign w:val="center"/>
          </w:tcPr>
          <w:p w14:paraId="15B1B4DC" w14:textId="71354949" w:rsidR="009B3561" w:rsidRDefault="009B3561" w:rsidP="009B3561">
            <w:pPr>
              <w:spacing w:after="120"/>
              <w:jc w:val="right"/>
              <w:rPr>
                <w:rFonts w:ascii="Times New Roman" w:hAnsi="Times New Roman" w:cs="Times New Roman"/>
                <w:sz w:val="24"/>
                <w:szCs w:val="24"/>
              </w:rPr>
            </w:pPr>
            <w:r>
              <w:rPr>
                <w:rFonts w:ascii="Times New Roman" w:hAnsi="Times New Roman" w:cs="Times New Roman"/>
                <w:sz w:val="24"/>
                <w:szCs w:val="24"/>
              </w:rPr>
              <w:t>313.93</w:t>
            </w:r>
          </w:p>
        </w:tc>
        <w:tc>
          <w:tcPr>
            <w:tcW w:w="1603" w:type="dxa"/>
            <w:shd w:val="clear" w:color="auto" w:fill="auto"/>
            <w:vAlign w:val="center"/>
          </w:tcPr>
          <w:p w14:paraId="1DCC0603" w14:textId="01F456C7" w:rsidR="009B3561" w:rsidRDefault="009B3561" w:rsidP="009B3561">
            <w:pPr>
              <w:spacing w:after="120"/>
              <w:jc w:val="right"/>
              <w:rPr>
                <w:rFonts w:ascii="Times New Roman" w:hAnsi="Times New Roman" w:cs="Times New Roman"/>
                <w:sz w:val="24"/>
                <w:szCs w:val="24"/>
              </w:rPr>
            </w:pPr>
            <w:r>
              <w:rPr>
                <w:rFonts w:ascii="Times New Roman" w:hAnsi="Times New Roman" w:cs="Times New Roman"/>
                <w:sz w:val="24"/>
                <w:szCs w:val="24"/>
              </w:rPr>
              <w:t>382.13</w:t>
            </w:r>
          </w:p>
        </w:tc>
      </w:tr>
      <w:tr w:rsidR="009B3561" w14:paraId="2CE98037" w14:textId="77777777" w:rsidTr="009B3561">
        <w:tc>
          <w:tcPr>
            <w:tcW w:w="3422" w:type="dxa"/>
            <w:gridSpan w:val="2"/>
            <w:shd w:val="clear" w:color="auto" w:fill="auto"/>
            <w:vAlign w:val="center"/>
          </w:tcPr>
          <w:p w14:paraId="64AA33A3" w14:textId="476E6656" w:rsidR="009B3561" w:rsidRDefault="009B3561" w:rsidP="009017B5">
            <w:pPr>
              <w:spacing w:after="120"/>
              <w:rPr>
                <w:rFonts w:ascii="Times New Roman" w:hAnsi="Times New Roman" w:cs="Times New Roman"/>
                <w:sz w:val="24"/>
                <w:szCs w:val="24"/>
              </w:rPr>
            </w:pPr>
            <w:r>
              <w:rPr>
                <w:rFonts w:ascii="Times New Roman" w:hAnsi="Times New Roman" w:cs="Times New Roman"/>
                <w:sz w:val="24"/>
                <w:szCs w:val="24"/>
              </w:rPr>
              <w:t>Selected expenses ($/ac):</w:t>
            </w:r>
          </w:p>
        </w:tc>
        <w:tc>
          <w:tcPr>
            <w:tcW w:w="1733" w:type="dxa"/>
            <w:shd w:val="clear" w:color="auto" w:fill="auto"/>
            <w:vAlign w:val="center"/>
          </w:tcPr>
          <w:p w14:paraId="708BD372" w14:textId="77777777" w:rsidR="009B3561" w:rsidRDefault="009B3561" w:rsidP="009017B5">
            <w:pPr>
              <w:spacing w:after="120"/>
              <w:jc w:val="right"/>
              <w:rPr>
                <w:rFonts w:ascii="Times New Roman" w:hAnsi="Times New Roman" w:cs="Times New Roman"/>
                <w:sz w:val="24"/>
                <w:szCs w:val="24"/>
              </w:rPr>
            </w:pPr>
          </w:p>
        </w:tc>
        <w:tc>
          <w:tcPr>
            <w:tcW w:w="1459" w:type="dxa"/>
            <w:shd w:val="clear" w:color="auto" w:fill="auto"/>
            <w:vAlign w:val="center"/>
          </w:tcPr>
          <w:p w14:paraId="3F3BB772" w14:textId="77777777" w:rsidR="009B3561" w:rsidRDefault="009B3561" w:rsidP="009017B5">
            <w:pPr>
              <w:spacing w:after="120"/>
              <w:jc w:val="right"/>
              <w:rPr>
                <w:rFonts w:ascii="Times New Roman" w:hAnsi="Times New Roman" w:cs="Times New Roman"/>
                <w:sz w:val="24"/>
                <w:szCs w:val="24"/>
              </w:rPr>
            </w:pPr>
          </w:p>
        </w:tc>
        <w:tc>
          <w:tcPr>
            <w:tcW w:w="1143" w:type="dxa"/>
            <w:vAlign w:val="center"/>
          </w:tcPr>
          <w:p w14:paraId="4C2E7A4F" w14:textId="77777777" w:rsidR="009B3561" w:rsidRDefault="009B3561" w:rsidP="009B3561">
            <w:pPr>
              <w:spacing w:after="120"/>
              <w:jc w:val="right"/>
              <w:rPr>
                <w:rFonts w:ascii="Times New Roman" w:hAnsi="Times New Roman" w:cs="Times New Roman"/>
                <w:sz w:val="24"/>
                <w:szCs w:val="24"/>
              </w:rPr>
            </w:pPr>
          </w:p>
        </w:tc>
        <w:tc>
          <w:tcPr>
            <w:tcW w:w="1603" w:type="dxa"/>
            <w:shd w:val="clear" w:color="auto" w:fill="auto"/>
            <w:vAlign w:val="center"/>
          </w:tcPr>
          <w:p w14:paraId="70F97424" w14:textId="5D7427FA" w:rsidR="009B3561" w:rsidRDefault="009B3561" w:rsidP="009B3561">
            <w:pPr>
              <w:spacing w:after="120"/>
              <w:jc w:val="right"/>
              <w:rPr>
                <w:rFonts w:ascii="Times New Roman" w:hAnsi="Times New Roman" w:cs="Times New Roman"/>
                <w:sz w:val="24"/>
                <w:szCs w:val="24"/>
              </w:rPr>
            </w:pPr>
          </w:p>
        </w:tc>
      </w:tr>
      <w:tr w:rsidR="009B3561" w14:paraId="5E3CFBB8" w14:textId="77777777" w:rsidTr="009B3561">
        <w:tc>
          <w:tcPr>
            <w:tcW w:w="1962" w:type="dxa"/>
            <w:shd w:val="clear" w:color="auto" w:fill="auto"/>
            <w:vAlign w:val="center"/>
          </w:tcPr>
          <w:p w14:paraId="06938238" w14:textId="611A161F" w:rsidR="009B3561" w:rsidRDefault="009B3561" w:rsidP="009017B5">
            <w:pPr>
              <w:spacing w:after="120"/>
              <w:rPr>
                <w:rFonts w:ascii="Times New Roman" w:hAnsi="Times New Roman" w:cs="Times New Roman"/>
                <w:sz w:val="24"/>
                <w:szCs w:val="24"/>
              </w:rPr>
            </w:pPr>
          </w:p>
        </w:tc>
        <w:tc>
          <w:tcPr>
            <w:tcW w:w="1460" w:type="dxa"/>
            <w:shd w:val="clear" w:color="auto" w:fill="auto"/>
            <w:vAlign w:val="center"/>
          </w:tcPr>
          <w:p w14:paraId="14E890A1" w14:textId="40CF7CBA" w:rsidR="009B3561" w:rsidRDefault="009B3561" w:rsidP="009017B5">
            <w:pPr>
              <w:spacing w:after="120"/>
              <w:rPr>
                <w:rFonts w:ascii="Times New Roman" w:hAnsi="Times New Roman" w:cs="Times New Roman"/>
                <w:sz w:val="24"/>
                <w:szCs w:val="24"/>
              </w:rPr>
            </w:pPr>
            <w:r>
              <w:rPr>
                <w:rFonts w:ascii="Times New Roman" w:hAnsi="Times New Roman" w:cs="Times New Roman"/>
                <w:sz w:val="24"/>
                <w:szCs w:val="24"/>
              </w:rPr>
              <w:t>Seed</w:t>
            </w:r>
          </w:p>
        </w:tc>
        <w:tc>
          <w:tcPr>
            <w:tcW w:w="1733" w:type="dxa"/>
            <w:shd w:val="clear" w:color="auto" w:fill="auto"/>
            <w:vAlign w:val="center"/>
          </w:tcPr>
          <w:p w14:paraId="39013160" w14:textId="026924E0" w:rsidR="009B3561" w:rsidRDefault="009B3561" w:rsidP="009017B5">
            <w:pPr>
              <w:spacing w:after="120"/>
              <w:jc w:val="right"/>
              <w:rPr>
                <w:rFonts w:ascii="Times New Roman" w:hAnsi="Times New Roman" w:cs="Times New Roman"/>
                <w:sz w:val="24"/>
                <w:szCs w:val="24"/>
              </w:rPr>
            </w:pPr>
            <w:r>
              <w:rPr>
                <w:rFonts w:ascii="Times New Roman" w:hAnsi="Times New Roman" w:cs="Times New Roman"/>
                <w:sz w:val="24"/>
                <w:szCs w:val="24"/>
              </w:rPr>
              <w:t>17.67</w:t>
            </w:r>
          </w:p>
        </w:tc>
        <w:tc>
          <w:tcPr>
            <w:tcW w:w="1459" w:type="dxa"/>
            <w:shd w:val="clear" w:color="auto" w:fill="auto"/>
            <w:vAlign w:val="center"/>
          </w:tcPr>
          <w:p w14:paraId="7DD01540" w14:textId="4BCEB43B" w:rsidR="009B3561" w:rsidRDefault="009B3561" w:rsidP="009017B5">
            <w:pPr>
              <w:spacing w:after="120"/>
              <w:jc w:val="right"/>
              <w:rPr>
                <w:rFonts w:ascii="Times New Roman" w:hAnsi="Times New Roman" w:cs="Times New Roman"/>
                <w:sz w:val="24"/>
                <w:szCs w:val="24"/>
              </w:rPr>
            </w:pPr>
            <w:r>
              <w:rPr>
                <w:rFonts w:ascii="Times New Roman" w:hAnsi="Times New Roman" w:cs="Times New Roman"/>
                <w:sz w:val="24"/>
                <w:szCs w:val="24"/>
              </w:rPr>
              <w:t>22.82</w:t>
            </w:r>
          </w:p>
        </w:tc>
        <w:tc>
          <w:tcPr>
            <w:tcW w:w="1143" w:type="dxa"/>
            <w:vAlign w:val="center"/>
          </w:tcPr>
          <w:p w14:paraId="46C2F789" w14:textId="2B53DC6B" w:rsidR="009B3561" w:rsidRDefault="009B3561" w:rsidP="009B3561">
            <w:pPr>
              <w:spacing w:after="120"/>
              <w:jc w:val="right"/>
              <w:rPr>
                <w:rFonts w:ascii="Times New Roman" w:hAnsi="Times New Roman" w:cs="Times New Roman"/>
                <w:sz w:val="24"/>
                <w:szCs w:val="24"/>
              </w:rPr>
            </w:pPr>
            <w:r>
              <w:rPr>
                <w:rFonts w:ascii="Times New Roman" w:hAnsi="Times New Roman" w:cs="Times New Roman"/>
                <w:sz w:val="24"/>
                <w:szCs w:val="24"/>
              </w:rPr>
              <w:t>17.44</w:t>
            </w:r>
          </w:p>
        </w:tc>
        <w:tc>
          <w:tcPr>
            <w:tcW w:w="1603" w:type="dxa"/>
            <w:shd w:val="clear" w:color="auto" w:fill="auto"/>
            <w:vAlign w:val="center"/>
          </w:tcPr>
          <w:p w14:paraId="32CC2F3D" w14:textId="2E171665" w:rsidR="009B3561" w:rsidRDefault="009B3561" w:rsidP="009B3561">
            <w:pPr>
              <w:spacing w:after="120"/>
              <w:jc w:val="right"/>
              <w:rPr>
                <w:rFonts w:ascii="Times New Roman" w:hAnsi="Times New Roman" w:cs="Times New Roman"/>
                <w:sz w:val="24"/>
                <w:szCs w:val="24"/>
              </w:rPr>
            </w:pPr>
            <w:r>
              <w:rPr>
                <w:rFonts w:ascii="Times New Roman" w:hAnsi="Times New Roman" w:cs="Times New Roman"/>
                <w:sz w:val="24"/>
                <w:szCs w:val="24"/>
              </w:rPr>
              <w:t>17.06</w:t>
            </w:r>
          </w:p>
        </w:tc>
      </w:tr>
      <w:tr w:rsidR="009B3561" w14:paraId="30EE7894" w14:textId="77777777" w:rsidTr="009B3561">
        <w:tc>
          <w:tcPr>
            <w:tcW w:w="1962" w:type="dxa"/>
            <w:shd w:val="clear" w:color="auto" w:fill="auto"/>
            <w:vAlign w:val="center"/>
          </w:tcPr>
          <w:p w14:paraId="0F43AEF2" w14:textId="77E76C17" w:rsidR="009B3561" w:rsidRDefault="009B3561" w:rsidP="009017B5">
            <w:pPr>
              <w:spacing w:after="120"/>
              <w:rPr>
                <w:rFonts w:ascii="Times New Roman" w:hAnsi="Times New Roman" w:cs="Times New Roman"/>
                <w:sz w:val="24"/>
                <w:szCs w:val="24"/>
              </w:rPr>
            </w:pPr>
          </w:p>
        </w:tc>
        <w:tc>
          <w:tcPr>
            <w:tcW w:w="1460" w:type="dxa"/>
            <w:shd w:val="clear" w:color="auto" w:fill="auto"/>
            <w:vAlign w:val="center"/>
          </w:tcPr>
          <w:p w14:paraId="6491A366" w14:textId="042AB215" w:rsidR="009B3561" w:rsidRDefault="009B3561" w:rsidP="009017B5">
            <w:pPr>
              <w:spacing w:after="120"/>
              <w:rPr>
                <w:rFonts w:ascii="Times New Roman" w:hAnsi="Times New Roman" w:cs="Times New Roman"/>
                <w:sz w:val="24"/>
                <w:szCs w:val="24"/>
              </w:rPr>
            </w:pPr>
            <w:r>
              <w:rPr>
                <w:rFonts w:ascii="Times New Roman" w:hAnsi="Times New Roman" w:cs="Times New Roman"/>
                <w:sz w:val="24"/>
                <w:szCs w:val="24"/>
              </w:rPr>
              <w:t>Fertilizer</w:t>
            </w:r>
          </w:p>
        </w:tc>
        <w:tc>
          <w:tcPr>
            <w:tcW w:w="1733" w:type="dxa"/>
            <w:shd w:val="clear" w:color="auto" w:fill="auto"/>
            <w:vAlign w:val="center"/>
          </w:tcPr>
          <w:p w14:paraId="42366CED" w14:textId="4946254B" w:rsidR="009B3561" w:rsidRDefault="009B3561" w:rsidP="009017B5">
            <w:pPr>
              <w:spacing w:after="120"/>
              <w:jc w:val="right"/>
              <w:rPr>
                <w:rFonts w:ascii="Times New Roman" w:hAnsi="Times New Roman" w:cs="Times New Roman"/>
                <w:sz w:val="24"/>
                <w:szCs w:val="24"/>
              </w:rPr>
            </w:pPr>
            <w:r>
              <w:rPr>
                <w:rFonts w:ascii="Times New Roman" w:hAnsi="Times New Roman" w:cs="Times New Roman"/>
                <w:sz w:val="24"/>
                <w:szCs w:val="24"/>
              </w:rPr>
              <w:t>63.70</w:t>
            </w:r>
          </w:p>
        </w:tc>
        <w:tc>
          <w:tcPr>
            <w:tcW w:w="1459" w:type="dxa"/>
            <w:shd w:val="clear" w:color="auto" w:fill="auto"/>
            <w:vAlign w:val="center"/>
          </w:tcPr>
          <w:p w14:paraId="3CFD9704" w14:textId="4B464BE6" w:rsidR="009B3561" w:rsidRDefault="009B3561" w:rsidP="009017B5">
            <w:pPr>
              <w:spacing w:after="120"/>
              <w:jc w:val="right"/>
              <w:rPr>
                <w:rFonts w:ascii="Times New Roman" w:hAnsi="Times New Roman" w:cs="Times New Roman"/>
                <w:sz w:val="24"/>
                <w:szCs w:val="24"/>
              </w:rPr>
            </w:pPr>
            <w:r>
              <w:rPr>
                <w:rFonts w:ascii="Times New Roman" w:hAnsi="Times New Roman" w:cs="Times New Roman"/>
                <w:sz w:val="24"/>
                <w:szCs w:val="24"/>
              </w:rPr>
              <w:t>79.98</w:t>
            </w:r>
          </w:p>
        </w:tc>
        <w:tc>
          <w:tcPr>
            <w:tcW w:w="1143" w:type="dxa"/>
            <w:vAlign w:val="center"/>
          </w:tcPr>
          <w:p w14:paraId="30591E08" w14:textId="7242A7C6" w:rsidR="009B3561" w:rsidRDefault="009B3561" w:rsidP="009B3561">
            <w:pPr>
              <w:spacing w:after="120"/>
              <w:jc w:val="right"/>
              <w:rPr>
                <w:rFonts w:ascii="Times New Roman" w:hAnsi="Times New Roman" w:cs="Times New Roman"/>
                <w:sz w:val="24"/>
                <w:szCs w:val="24"/>
              </w:rPr>
            </w:pPr>
            <w:r>
              <w:rPr>
                <w:rFonts w:ascii="Times New Roman" w:hAnsi="Times New Roman" w:cs="Times New Roman"/>
                <w:sz w:val="24"/>
                <w:szCs w:val="24"/>
              </w:rPr>
              <w:t>64.05</w:t>
            </w:r>
          </w:p>
        </w:tc>
        <w:tc>
          <w:tcPr>
            <w:tcW w:w="1603" w:type="dxa"/>
            <w:shd w:val="clear" w:color="auto" w:fill="auto"/>
            <w:vAlign w:val="center"/>
          </w:tcPr>
          <w:p w14:paraId="679742E7" w14:textId="409F0A40" w:rsidR="009B3561" w:rsidRDefault="009B3561" w:rsidP="009B3561">
            <w:pPr>
              <w:spacing w:after="120"/>
              <w:jc w:val="right"/>
              <w:rPr>
                <w:rFonts w:ascii="Times New Roman" w:hAnsi="Times New Roman" w:cs="Times New Roman"/>
                <w:sz w:val="24"/>
                <w:szCs w:val="24"/>
              </w:rPr>
            </w:pPr>
            <w:r>
              <w:rPr>
                <w:rFonts w:ascii="Times New Roman" w:hAnsi="Times New Roman" w:cs="Times New Roman"/>
                <w:sz w:val="24"/>
                <w:szCs w:val="24"/>
              </w:rPr>
              <w:t>62.07</w:t>
            </w:r>
          </w:p>
        </w:tc>
      </w:tr>
      <w:tr w:rsidR="009B3561" w14:paraId="15DB8618" w14:textId="77777777" w:rsidTr="009B3561">
        <w:tc>
          <w:tcPr>
            <w:tcW w:w="1962" w:type="dxa"/>
            <w:shd w:val="clear" w:color="auto" w:fill="auto"/>
            <w:vAlign w:val="center"/>
          </w:tcPr>
          <w:p w14:paraId="1052DEB7" w14:textId="4ECEE9DB" w:rsidR="009B3561" w:rsidRDefault="009B3561" w:rsidP="009017B5">
            <w:pPr>
              <w:spacing w:after="120"/>
              <w:rPr>
                <w:rFonts w:ascii="Times New Roman" w:hAnsi="Times New Roman" w:cs="Times New Roman"/>
                <w:sz w:val="24"/>
                <w:szCs w:val="24"/>
              </w:rPr>
            </w:pPr>
          </w:p>
        </w:tc>
        <w:tc>
          <w:tcPr>
            <w:tcW w:w="1460" w:type="dxa"/>
            <w:shd w:val="clear" w:color="auto" w:fill="auto"/>
            <w:vAlign w:val="center"/>
          </w:tcPr>
          <w:p w14:paraId="47948561" w14:textId="72EE44EE" w:rsidR="009B3561" w:rsidRDefault="009B3561" w:rsidP="009017B5">
            <w:pPr>
              <w:spacing w:after="120"/>
              <w:rPr>
                <w:rFonts w:ascii="Times New Roman" w:hAnsi="Times New Roman" w:cs="Times New Roman"/>
                <w:sz w:val="24"/>
                <w:szCs w:val="24"/>
              </w:rPr>
            </w:pPr>
            <w:r>
              <w:rPr>
                <w:rFonts w:ascii="Times New Roman" w:hAnsi="Times New Roman" w:cs="Times New Roman"/>
                <w:sz w:val="24"/>
                <w:szCs w:val="24"/>
              </w:rPr>
              <w:t>Repairs</w:t>
            </w:r>
          </w:p>
        </w:tc>
        <w:tc>
          <w:tcPr>
            <w:tcW w:w="1733" w:type="dxa"/>
            <w:shd w:val="clear" w:color="auto" w:fill="auto"/>
            <w:vAlign w:val="center"/>
          </w:tcPr>
          <w:p w14:paraId="27CDBC3F" w14:textId="552518D0" w:rsidR="009B3561" w:rsidRDefault="009B3561" w:rsidP="009017B5">
            <w:pPr>
              <w:spacing w:after="120"/>
              <w:jc w:val="right"/>
              <w:rPr>
                <w:rFonts w:ascii="Times New Roman" w:hAnsi="Times New Roman" w:cs="Times New Roman"/>
                <w:sz w:val="24"/>
                <w:szCs w:val="24"/>
              </w:rPr>
            </w:pPr>
            <w:r>
              <w:rPr>
                <w:rFonts w:ascii="Times New Roman" w:hAnsi="Times New Roman" w:cs="Times New Roman"/>
                <w:sz w:val="24"/>
                <w:szCs w:val="24"/>
              </w:rPr>
              <w:t>22.56</w:t>
            </w:r>
          </w:p>
        </w:tc>
        <w:tc>
          <w:tcPr>
            <w:tcW w:w="1459" w:type="dxa"/>
            <w:shd w:val="clear" w:color="auto" w:fill="auto"/>
            <w:vAlign w:val="center"/>
          </w:tcPr>
          <w:p w14:paraId="1ABB86D8" w14:textId="33B58EE4" w:rsidR="009B3561" w:rsidRDefault="009B3561" w:rsidP="009017B5">
            <w:pPr>
              <w:spacing w:after="120"/>
              <w:jc w:val="right"/>
              <w:rPr>
                <w:rFonts w:ascii="Times New Roman" w:hAnsi="Times New Roman" w:cs="Times New Roman"/>
                <w:sz w:val="24"/>
                <w:szCs w:val="24"/>
              </w:rPr>
            </w:pPr>
            <w:r>
              <w:rPr>
                <w:rFonts w:ascii="Times New Roman" w:hAnsi="Times New Roman" w:cs="Times New Roman"/>
                <w:sz w:val="24"/>
                <w:szCs w:val="24"/>
              </w:rPr>
              <w:t>33.17</w:t>
            </w:r>
          </w:p>
        </w:tc>
        <w:tc>
          <w:tcPr>
            <w:tcW w:w="1143" w:type="dxa"/>
            <w:vAlign w:val="center"/>
          </w:tcPr>
          <w:p w14:paraId="242DE8F9" w14:textId="1A134C6D" w:rsidR="009B3561" w:rsidRDefault="009B3561" w:rsidP="009B3561">
            <w:pPr>
              <w:spacing w:after="120"/>
              <w:jc w:val="right"/>
              <w:rPr>
                <w:rFonts w:ascii="Times New Roman" w:hAnsi="Times New Roman" w:cs="Times New Roman"/>
                <w:sz w:val="24"/>
                <w:szCs w:val="24"/>
              </w:rPr>
            </w:pPr>
            <w:r>
              <w:rPr>
                <w:rFonts w:ascii="Times New Roman" w:hAnsi="Times New Roman" w:cs="Times New Roman"/>
                <w:sz w:val="24"/>
                <w:szCs w:val="24"/>
              </w:rPr>
              <w:t>24.16</w:t>
            </w:r>
          </w:p>
        </w:tc>
        <w:tc>
          <w:tcPr>
            <w:tcW w:w="1603" w:type="dxa"/>
            <w:shd w:val="clear" w:color="auto" w:fill="auto"/>
            <w:vAlign w:val="center"/>
          </w:tcPr>
          <w:p w14:paraId="2730CAA9" w14:textId="65E1D825" w:rsidR="009B3561" w:rsidRDefault="009B3561" w:rsidP="009B3561">
            <w:pPr>
              <w:spacing w:after="120"/>
              <w:jc w:val="right"/>
              <w:rPr>
                <w:rFonts w:ascii="Times New Roman" w:hAnsi="Times New Roman" w:cs="Times New Roman"/>
                <w:sz w:val="24"/>
                <w:szCs w:val="24"/>
              </w:rPr>
            </w:pPr>
            <w:r>
              <w:rPr>
                <w:rFonts w:ascii="Times New Roman" w:hAnsi="Times New Roman" w:cs="Times New Roman"/>
                <w:sz w:val="24"/>
                <w:szCs w:val="24"/>
              </w:rPr>
              <w:t>18.13</w:t>
            </w:r>
          </w:p>
        </w:tc>
      </w:tr>
      <w:tr w:rsidR="009B3561" w14:paraId="6725EB97" w14:textId="77777777" w:rsidTr="009B3561">
        <w:tc>
          <w:tcPr>
            <w:tcW w:w="1962" w:type="dxa"/>
            <w:shd w:val="clear" w:color="auto" w:fill="auto"/>
            <w:vAlign w:val="center"/>
          </w:tcPr>
          <w:p w14:paraId="6F6F7A11" w14:textId="571D6E70" w:rsidR="009B3561" w:rsidRDefault="009B3561" w:rsidP="009017B5">
            <w:pPr>
              <w:spacing w:after="120"/>
              <w:rPr>
                <w:rFonts w:ascii="Times New Roman" w:hAnsi="Times New Roman" w:cs="Times New Roman"/>
                <w:sz w:val="24"/>
                <w:szCs w:val="24"/>
              </w:rPr>
            </w:pPr>
          </w:p>
        </w:tc>
        <w:tc>
          <w:tcPr>
            <w:tcW w:w="1460" w:type="dxa"/>
            <w:shd w:val="clear" w:color="auto" w:fill="auto"/>
            <w:vAlign w:val="center"/>
          </w:tcPr>
          <w:p w14:paraId="361B5F8F" w14:textId="1F22AE68" w:rsidR="009B3561" w:rsidRDefault="009B3561" w:rsidP="009017B5">
            <w:pPr>
              <w:spacing w:after="120"/>
              <w:rPr>
                <w:rFonts w:ascii="Times New Roman" w:hAnsi="Times New Roman" w:cs="Times New Roman"/>
                <w:sz w:val="24"/>
                <w:szCs w:val="24"/>
              </w:rPr>
            </w:pPr>
            <w:r>
              <w:rPr>
                <w:rFonts w:ascii="Times New Roman" w:hAnsi="Times New Roman" w:cs="Times New Roman"/>
                <w:sz w:val="24"/>
                <w:szCs w:val="24"/>
              </w:rPr>
              <w:t>Land Rent</w:t>
            </w:r>
          </w:p>
        </w:tc>
        <w:tc>
          <w:tcPr>
            <w:tcW w:w="1733" w:type="dxa"/>
            <w:shd w:val="clear" w:color="auto" w:fill="auto"/>
            <w:vAlign w:val="center"/>
          </w:tcPr>
          <w:p w14:paraId="532DB0F0" w14:textId="238200D0" w:rsidR="009B3561" w:rsidRDefault="009B3561" w:rsidP="009017B5">
            <w:pPr>
              <w:spacing w:after="120"/>
              <w:jc w:val="right"/>
              <w:rPr>
                <w:rFonts w:ascii="Times New Roman" w:hAnsi="Times New Roman" w:cs="Times New Roman"/>
                <w:sz w:val="24"/>
                <w:szCs w:val="24"/>
              </w:rPr>
            </w:pPr>
            <w:r>
              <w:rPr>
                <w:rFonts w:ascii="Times New Roman" w:hAnsi="Times New Roman" w:cs="Times New Roman"/>
                <w:sz w:val="24"/>
                <w:szCs w:val="24"/>
              </w:rPr>
              <w:t>57.79</w:t>
            </w:r>
          </w:p>
        </w:tc>
        <w:tc>
          <w:tcPr>
            <w:tcW w:w="1459" w:type="dxa"/>
            <w:shd w:val="clear" w:color="auto" w:fill="auto"/>
            <w:vAlign w:val="center"/>
          </w:tcPr>
          <w:p w14:paraId="1AE9C5AD" w14:textId="65E8CA92" w:rsidR="009B3561" w:rsidRDefault="009B3561" w:rsidP="009017B5">
            <w:pPr>
              <w:spacing w:after="120"/>
              <w:jc w:val="right"/>
              <w:rPr>
                <w:rFonts w:ascii="Times New Roman" w:hAnsi="Times New Roman" w:cs="Times New Roman"/>
                <w:sz w:val="24"/>
                <w:szCs w:val="24"/>
              </w:rPr>
            </w:pPr>
            <w:r>
              <w:rPr>
                <w:rFonts w:ascii="Times New Roman" w:hAnsi="Times New Roman" w:cs="Times New Roman"/>
                <w:sz w:val="24"/>
                <w:szCs w:val="24"/>
              </w:rPr>
              <w:t>74.30</w:t>
            </w:r>
          </w:p>
        </w:tc>
        <w:tc>
          <w:tcPr>
            <w:tcW w:w="1143" w:type="dxa"/>
            <w:vAlign w:val="center"/>
          </w:tcPr>
          <w:p w14:paraId="4DD5F959" w14:textId="151A0F98" w:rsidR="009B3561" w:rsidRDefault="009B3561" w:rsidP="009B3561">
            <w:pPr>
              <w:spacing w:after="120"/>
              <w:jc w:val="right"/>
              <w:rPr>
                <w:rFonts w:ascii="Times New Roman" w:hAnsi="Times New Roman" w:cs="Times New Roman"/>
                <w:sz w:val="24"/>
                <w:szCs w:val="24"/>
              </w:rPr>
            </w:pPr>
            <w:r>
              <w:rPr>
                <w:rFonts w:ascii="Times New Roman" w:hAnsi="Times New Roman" w:cs="Times New Roman"/>
                <w:sz w:val="24"/>
                <w:szCs w:val="24"/>
              </w:rPr>
              <w:t>56.41</w:t>
            </w:r>
          </w:p>
        </w:tc>
        <w:tc>
          <w:tcPr>
            <w:tcW w:w="1603" w:type="dxa"/>
            <w:shd w:val="clear" w:color="auto" w:fill="auto"/>
            <w:vAlign w:val="center"/>
          </w:tcPr>
          <w:p w14:paraId="15513333" w14:textId="104F50A8" w:rsidR="009B3561" w:rsidRDefault="009B3561" w:rsidP="009B3561">
            <w:pPr>
              <w:spacing w:after="120"/>
              <w:jc w:val="right"/>
              <w:rPr>
                <w:rFonts w:ascii="Times New Roman" w:hAnsi="Times New Roman" w:cs="Times New Roman"/>
                <w:sz w:val="24"/>
                <w:szCs w:val="24"/>
              </w:rPr>
            </w:pPr>
            <w:r>
              <w:rPr>
                <w:rFonts w:ascii="Times New Roman" w:hAnsi="Times New Roman" w:cs="Times New Roman"/>
                <w:sz w:val="24"/>
                <w:szCs w:val="24"/>
              </w:rPr>
              <w:t>54.74</w:t>
            </w:r>
          </w:p>
        </w:tc>
      </w:tr>
      <w:tr w:rsidR="009B3561" w14:paraId="76357B4C" w14:textId="77777777" w:rsidTr="009B3561">
        <w:tc>
          <w:tcPr>
            <w:tcW w:w="1962" w:type="dxa"/>
            <w:shd w:val="clear" w:color="auto" w:fill="auto"/>
            <w:vAlign w:val="center"/>
          </w:tcPr>
          <w:p w14:paraId="5F83D0D4" w14:textId="77777777" w:rsidR="009B3561" w:rsidRDefault="009B3561" w:rsidP="009017B5">
            <w:pPr>
              <w:spacing w:after="120"/>
              <w:rPr>
                <w:rFonts w:ascii="Times New Roman" w:hAnsi="Times New Roman" w:cs="Times New Roman"/>
                <w:sz w:val="24"/>
                <w:szCs w:val="24"/>
              </w:rPr>
            </w:pPr>
          </w:p>
        </w:tc>
        <w:tc>
          <w:tcPr>
            <w:tcW w:w="1460" w:type="dxa"/>
            <w:shd w:val="clear" w:color="auto" w:fill="auto"/>
            <w:vAlign w:val="center"/>
          </w:tcPr>
          <w:p w14:paraId="30B540BD" w14:textId="14503986" w:rsidR="009B3561" w:rsidRDefault="009B3561" w:rsidP="009017B5">
            <w:pPr>
              <w:spacing w:after="120"/>
              <w:rPr>
                <w:rFonts w:ascii="Times New Roman" w:hAnsi="Times New Roman" w:cs="Times New Roman"/>
                <w:sz w:val="24"/>
                <w:szCs w:val="24"/>
              </w:rPr>
            </w:pPr>
            <w:r>
              <w:rPr>
                <w:rFonts w:ascii="Times New Roman" w:hAnsi="Times New Roman" w:cs="Times New Roman"/>
                <w:sz w:val="24"/>
                <w:szCs w:val="24"/>
              </w:rPr>
              <w:t>Interest</w:t>
            </w:r>
          </w:p>
        </w:tc>
        <w:tc>
          <w:tcPr>
            <w:tcW w:w="1733" w:type="dxa"/>
            <w:shd w:val="clear" w:color="auto" w:fill="auto"/>
            <w:vAlign w:val="center"/>
          </w:tcPr>
          <w:p w14:paraId="34816708" w14:textId="6735079C" w:rsidR="009B3561" w:rsidRDefault="009B3561" w:rsidP="009017B5">
            <w:pPr>
              <w:spacing w:after="120"/>
              <w:jc w:val="right"/>
              <w:rPr>
                <w:rFonts w:ascii="Times New Roman" w:hAnsi="Times New Roman" w:cs="Times New Roman"/>
                <w:sz w:val="24"/>
                <w:szCs w:val="24"/>
              </w:rPr>
            </w:pPr>
            <w:r>
              <w:rPr>
                <w:rFonts w:ascii="Times New Roman" w:hAnsi="Times New Roman" w:cs="Times New Roman"/>
                <w:sz w:val="24"/>
                <w:szCs w:val="24"/>
              </w:rPr>
              <w:t>9.91</w:t>
            </w:r>
          </w:p>
        </w:tc>
        <w:tc>
          <w:tcPr>
            <w:tcW w:w="1459" w:type="dxa"/>
            <w:shd w:val="clear" w:color="auto" w:fill="auto"/>
            <w:vAlign w:val="center"/>
          </w:tcPr>
          <w:p w14:paraId="635A659C" w14:textId="79246ED1" w:rsidR="009B3561" w:rsidRDefault="009B3561" w:rsidP="009017B5">
            <w:pPr>
              <w:spacing w:after="120"/>
              <w:jc w:val="right"/>
              <w:rPr>
                <w:rFonts w:ascii="Times New Roman" w:hAnsi="Times New Roman" w:cs="Times New Roman"/>
                <w:sz w:val="24"/>
                <w:szCs w:val="24"/>
              </w:rPr>
            </w:pPr>
            <w:r>
              <w:rPr>
                <w:rFonts w:ascii="Times New Roman" w:hAnsi="Times New Roman" w:cs="Times New Roman"/>
                <w:sz w:val="24"/>
                <w:szCs w:val="24"/>
              </w:rPr>
              <w:t>12.75</w:t>
            </w:r>
          </w:p>
        </w:tc>
        <w:tc>
          <w:tcPr>
            <w:tcW w:w="1143" w:type="dxa"/>
            <w:vAlign w:val="center"/>
          </w:tcPr>
          <w:p w14:paraId="34D12C0B" w14:textId="086DCB83" w:rsidR="009B3561" w:rsidRDefault="009B3561" w:rsidP="009B3561">
            <w:pPr>
              <w:spacing w:after="120"/>
              <w:jc w:val="right"/>
              <w:rPr>
                <w:rFonts w:ascii="Times New Roman" w:hAnsi="Times New Roman" w:cs="Times New Roman"/>
                <w:sz w:val="24"/>
                <w:szCs w:val="24"/>
              </w:rPr>
            </w:pPr>
            <w:r>
              <w:rPr>
                <w:rFonts w:ascii="Times New Roman" w:hAnsi="Times New Roman" w:cs="Times New Roman"/>
                <w:sz w:val="24"/>
                <w:szCs w:val="24"/>
              </w:rPr>
              <w:t>10.62</w:t>
            </w:r>
          </w:p>
        </w:tc>
        <w:tc>
          <w:tcPr>
            <w:tcW w:w="1603" w:type="dxa"/>
            <w:shd w:val="clear" w:color="auto" w:fill="auto"/>
            <w:vAlign w:val="center"/>
          </w:tcPr>
          <w:p w14:paraId="1DF90B5C" w14:textId="2126A165" w:rsidR="009B3561" w:rsidRDefault="009B3561" w:rsidP="009B3561">
            <w:pPr>
              <w:spacing w:after="120"/>
              <w:jc w:val="right"/>
              <w:rPr>
                <w:rFonts w:ascii="Times New Roman" w:hAnsi="Times New Roman" w:cs="Times New Roman"/>
                <w:sz w:val="24"/>
                <w:szCs w:val="24"/>
              </w:rPr>
            </w:pPr>
            <w:r>
              <w:rPr>
                <w:rFonts w:ascii="Times New Roman" w:hAnsi="Times New Roman" w:cs="Times New Roman"/>
                <w:sz w:val="24"/>
                <w:szCs w:val="24"/>
              </w:rPr>
              <w:t>8.87</w:t>
            </w:r>
          </w:p>
        </w:tc>
      </w:tr>
      <w:tr w:rsidR="009B3561" w14:paraId="622B0561" w14:textId="77777777" w:rsidTr="009B3561">
        <w:tc>
          <w:tcPr>
            <w:tcW w:w="1962" w:type="dxa"/>
            <w:shd w:val="clear" w:color="auto" w:fill="auto"/>
            <w:vAlign w:val="center"/>
          </w:tcPr>
          <w:p w14:paraId="71B5760A" w14:textId="77777777" w:rsidR="009B3561" w:rsidRDefault="009B3561" w:rsidP="009017B5">
            <w:pPr>
              <w:spacing w:after="120"/>
              <w:rPr>
                <w:rFonts w:ascii="Times New Roman" w:hAnsi="Times New Roman" w:cs="Times New Roman"/>
                <w:sz w:val="24"/>
                <w:szCs w:val="24"/>
              </w:rPr>
            </w:pPr>
          </w:p>
        </w:tc>
        <w:tc>
          <w:tcPr>
            <w:tcW w:w="1460" w:type="dxa"/>
            <w:shd w:val="clear" w:color="auto" w:fill="auto"/>
            <w:vAlign w:val="center"/>
          </w:tcPr>
          <w:p w14:paraId="1CE607C1" w14:textId="24E16970" w:rsidR="009B3561" w:rsidRDefault="009B3561" w:rsidP="009017B5">
            <w:pPr>
              <w:spacing w:after="120"/>
              <w:rPr>
                <w:rFonts w:ascii="Times New Roman" w:hAnsi="Times New Roman" w:cs="Times New Roman"/>
                <w:sz w:val="24"/>
                <w:szCs w:val="24"/>
              </w:rPr>
            </w:pPr>
            <w:r>
              <w:rPr>
                <w:rFonts w:ascii="Times New Roman" w:hAnsi="Times New Roman" w:cs="Times New Roman"/>
                <w:sz w:val="24"/>
                <w:szCs w:val="24"/>
              </w:rPr>
              <w:t>Machine &amp; Building Depreciation</w:t>
            </w:r>
          </w:p>
        </w:tc>
        <w:tc>
          <w:tcPr>
            <w:tcW w:w="1733" w:type="dxa"/>
            <w:shd w:val="clear" w:color="auto" w:fill="auto"/>
            <w:vAlign w:val="center"/>
          </w:tcPr>
          <w:p w14:paraId="3FC44111" w14:textId="5A47AD40" w:rsidR="009B3561" w:rsidRDefault="009B3561" w:rsidP="009017B5">
            <w:pPr>
              <w:spacing w:after="120"/>
              <w:jc w:val="right"/>
              <w:rPr>
                <w:rFonts w:ascii="Times New Roman" w:hAnsi="Times New Roman" w:cs="Times New Roman"/>
                <w:sz w:val="24"/>
                <w:szCs w:val="24"/>
              </w:rPr>
            </w:pPr>
            <w:r>
              <w:rPr>
                <w:rFonts w:ascii="Times New Roman" w:hAnsi="Times New Roman" w:cs="Times New Roman"/>
                <w:sz w:val="24"/>
                <w:szCs w:val="24"/>
              </w:rPr>
              <w:t>27.83</w:t>
            </w:r>
          </w:p>
        </w:tc>
        <w:tc>
          <w:tcPr>
            <w:tcW w:w="1459" w:type="dxa"/>
            <w:shd w:val="clear" w:color="auto" w:fill="auto"/>
            <w:vAlign w:val="center"/>
          </w:tcPr>
          <w:p w14:paraId="67010DBA" w14:textId="045300C2" w:rsidR="009B3561" w:rsidRDefault="009B3561" w:rsidP="009017B5">
            <w:pPr>
              <w:spacing w:after="120"/>
              <w:jc w:val="right"/>
              <w:rPr>
                <w:rFonts w:ascii="Times New Roman" w:hAnsi="Times New Roman" w:cs="Times New Roman"/>
                <w:sz w:val="24"/>
                <w:szCs w:val="24"/>
              </w:rPr>
            </w:pPr>
            <w:r>
              <w:rPr>
                <w:rFonts w:ascii="Times New Roman" w:hAnsi="Times New Roman" w:cs="Times New Roman"/>
                <w:sz w:val="24"/>
                <w:szCs w:val="24"/>
              </w:rPr>
              <w:t>35.96</w:t>
            </w:r>
          </w:p>
        </w:tc>
        <w:tc>
          <w:tcPr>
            <w:tcW w:w="1143" w:type="dxa"/>
            <w:vAlign w:val="center"/>
          </w:tcPr>
          <w:p w14:paraId="4F253C5F" w14:textId="553C76E6" w:rsidR="009B3561" w:rsidRDefault="009B3561" w:rsidP="009B3561">
            <w:pPr>
              <w:spacing w:after="120"/>
              <w:jc w:val="right"/>
              <w:rPr>
                <w:rFonts w:ascii="Times New Roman" w:hAnsi="Times New Roman" w:cs="Times New Roman"/>
                <w:sz w:val="24"/>
                <w:szCs w:val="24"/>
              </w:rPr>
            </w:pPr>
            <w:r>
              <w:rPr>
                <w:rFonts w:ascii="Times New Roman" w:hAnsi="Times New Roman" w:cs="Times New Roman"/>
                <w:sz w:val="24"/>
                <w:szCs w:val="24"/>
              </w:rPr>
              <w:t>25.79</w:t>
            </w:r>
          </w:p>
        </w:tc>
        <w:tc>
          <w:tcPr>
            <w:tcW w:w="1603" w:type="dxa"/>
            <w:shd w:val="clear" w:color="auto" w:fill="auto"/>
            <w:vAlign w:val="center"/>
          </w:tcPr>
          <w:p w14:paraId="2E788FA2" w14:textId="57937611" w:rsidR="009B3561" w:rsidRDefault="009B3561" w:rsidP="009B3561">
            <w:pPr>
              <w:spacing w:after="120"/>
              <w:jc w:val="right"/>
              <w:rPr>
                <w:rFonts w:ascii="Times New Roman" w:hAnsi="Times New Roman" w:cs="Times New Roman"/>
                <w:sz w:val="24"/>
                <w:szCs w:val="24"/>
              </w:rPr>
            </w:pPr>
            <w:r>
              <w:rPr>
                <w:rFonts w:ascii="Times New Roman" w:hAnsi="Times New Roman" w:cs="Times New Roman"/>
                <w:sz w:val="24"/>
                <w:szCs w:val="24"/>
              </w:rPr>
              <w:t>29.01</w:t>
            </w:r>
          </w:p>
        </w:tc>
      </w:tr>
      <w:tr w:rsidR="009B3561" w14:paraId="01FA0D4B" w14:textId="77777777" w:rsidTr="009B3561">
        <w:tc>
          <w:tcPr>
            <w:tcW w:w="3422" w:type="dxa"/>
            <w:gridSpan w:val="2"/>
            <w:shd w:val="clear" w:color="auto" w:fill="auto"/>
            <w:vAlign w:val="center"/>
          </w:tcPr>
          <w:p w14:paraId="34CBE54F" w14:textId="753A6465" w:rsidR="009B3561" w:rsidRDefault="009B3561" w:rsidP="009017B5">
            <w:pPr>
              <w:spacing w:after="120"/>
              <w:rPr>
                <w:rFonts w:ascii="Times New Roman" w:hAnsi="Times New Roman" w:cs="Times New Roman"/>
                <w:sz w:val="24"/>
                <w:szCs w:val="24"/>
              </w:rPr>
            </w:pPr>
            <w:r>
              <w:rPr>
                <w:rFonts w:ascii="Times New Roman" w:hAnsi="Times New Roman" w:cs="Times New Roman"/>
                <w:sz w:val="24"/>
                <w:szCs w:val="24"/>
              </w:rPr>
              <w:t>Total Direct &amp; Overhead Expenses per acre</w:t>
            </w:r>
          </w:p>
        </w:tc>
        <w:tc>
          <w:tcPr>
            <w:tcW w:w="1733" w:type="dxa"/>
            <w:shd w:val="clear" w:color="auto" w:fill="auto"/>
            <w:vAlign w:val="center"/>
          </w:tcPr>
          <w:p w14:paraId="0D28DF4B" w14:textId="54D6DC9A" w:rsidR="009B3561" w:rsidRDefault="009B3561" w:rsidP="009017B5">
            <w:pPr>
              <w:spacing w:after="120"/>
              <w:jc w:val="right"/>
              <w:rPr>
                <w:rFonts w:ascii="Times New Roman" w:hAnsi="Times New Roman" w:cs="Times New Roman"/>
                <w:sz w:val="24"/>
                <w:szCs w:val="24"/>
              </w:rPr>
            </w:pPr>
            <w:r>
              <w:rPr>
                <w:rFonts w:ascii="Times New Roman" w:hAnsi="Times New Roman" w:cs="Times New Roman"/>
                <w:sz w:val="24"/>
                <w:szCs w:val="24"/>
              </w:rPr>
              <w:t>290.89</w:t>
            </w:r>
          </w:p>
        </w:tc>
        <w:tc>
          <w:tcPr>
            <w:tcW w:w="1459" w:type="dxa"/>
            <w:shd w:val="clear" w:color="auto" w:fill="auto"/>
            <w:vAlign w:val="center"/>
          </w:tcPr>
          <w:p w14:paraId="740B00AE" w14:textId="4CA12356" w:rsidR="009B3561" w:rsidRDefault="009B3561" w:rsidP="009017B5">
            <w:pPr>
              <w:spacing w:after="120"/>
              <w:jc w:val="right"/>
              <w:rPr>
                <w:rFonts w:ascii="Times New Roman" w:hAnsi="Times New Roman" w:cs="Times New Roman"/>
                <w:sz w:val="24"/>
                <w:szCs w:val="24"/>
              </w:rPr>
            </w:pPr>
            <w:r>
              <w:rPr>
                <w:rFonts w:ascii="Times New Roman" w:hAnsi="Times New Roman" w:cs="Times New Roman"/>
                <w:sz w:val="24"/>
                <w:szCs w:val="24"/>
              </w:rPr>
              <w:t>366.02</w:t>
            </w:r>
          </w:p>
        </w:tc>
        <w:tc>
          <w:tcPr>
            <w:tcW w:w="1143" w:type="dxa"/>
            <w:vAlign w:val="center"/>
          </w:tcPr>
          <w:p w14:paraId="603BB72A" w14:textId="4A686786" w:rsidR="009B3561" w:rsidRDefault="009B3561" w:rsidP="009B3561">
            <w:pPr>
              <w:spacing w:after="120"/>
              <w:jc w:val="right"/>
              <w:rPr>
                <w:rFonts w:ascii="Times New Roman" w:hAnsi="Times New Roman" w:cs="Times New Roman"/>
                <w:sz w:val="24"/>
                <w:szCs w:val="24"/>
              </w:rPr>
            </w:pPr>
            <w:r>
              <w:rPr>
                <w:rFonts w:ascii="Times New Roman" w:hAnsi="Times New Roman" w:cs="Times New Roman"/>
                <w:sz w:val="24"/>
                <w:szCs w:val="24"/>
              </w:rPr>
              <w:t>293.47</w:t>
            </w:r>
          </w:p>
        </w:tc>
        <w:tc>
          <w:tcPr>
            <w:tcW w:w="1603" w:type="dxa"/>
            <w:shd w:val="clear" w:color="auto" w:fill="auto"/>
            <w:vAlign w:val="center"/>
          </w:tcPr>
          <w:p w14:paraId="65261B81" w14:textId="6289EC50" w:rsidR="009B3561" w:rsidRDefault="009B3561" w:rsidP="009B3561">
            <w:pPr>
              <w:spacing w:after="120"/>
              <w:jc w:val="right"/>
              <w:rPr>
                <w:rFonts w:ascii="Times New Roman" w:hAnsi="Times New Roman" w:cs="Times New Roman"/>
                <w:sz w:val="24"/>
                <w:szCs w:val="24"/>
              </w:rPr>
            </w:pPr>
            <w:r>
              <w:rPr>
                <w:rFonts w:ascii="Times New Roman" w:hAnsi="Times New Roman" w:cs="Times New Roman"/>
                <w:sz w:val="24"/>
                <w:szCs w:val="24"/>
              </w:rPr>
              <w:t>277.18</w:t>
            </w:r>
          </w:p>
        </w:tc>
      </w:tr>
      <w:tr w:rsidR="009B3561" w14:paraId="7DFB5D9D" w14:textId="77777777" w:rsidTr="009B3561">
        <w:tc>
          <w:tcPr>
            <w:tcW w:w="3422" w:type="dxa"/>
            <w:gridSpan w:val="2"/>
            <w:shd w:val="clear" w:color="auto" w:fill="auto"/>
            <w:vAlign w:val="center"/>
          </w:tcPr>
          <w:p w14:paraId="70DC9929" w14:textId="43F4F07C" w:rsidR="009B3561" w:rsidRDefault="009B3561" w:rsidP="009017B5">
            <w:pPr>
              <w:spacing w:after="120"/>
              <w:rPr>
                <w:rFonts w:ascii="Times New Roman" w:hAnsi="Times New Roman" w:cs="Times New Roman"/>
                <w:sz w:val="24"/>
                <w:szCs w:val="24"/>
              </w:rPr>
            </w:pPr>
            <w:r>
              <w:rPr>
                <w:rFonts w:ascii="Times New Roman" w:hAnsi="Times New Roman" w:cs="Times New Roman"/>
                <w:sz w:val="24"/>
                <w:szCs w:val="24"/>
              </w:rPr>
              <w:t>Labor &amp; Management Charge per acre</w:t>
            </w:r>
          </w:p>
        </w:tc>
        <w:tc>
          <w:tcPr>
            <w:tcW w:w="1733" w:type="dxa"/>
            <w:shd w:val="clear" w:color="auto" w:fill="auto"/>
            <w:vAlign w:val="center"/>
          </w:tcPr>
          <w:p w14:paraId="59ECAC76" w14:textId="7ADFCC0D" w:rsidR="009B3561" w:rsidRDefault="009B3561" w:rsidP="009017B5">
            <w:pPr>
              <w:spacing w:after="120"/>
              <w:jc w:val="right"/>
              <w:rPr>
                <w:rFonts w:ascii="Times New Roman" w:hAnsi="Times New Roman" w:cs="Times New Roman"/>
                <w:sz w:val="24"/>
                <w:szCs w:val="24"/>
              </w:rPr>
            </w:pPr>
            <w:r>
              <w:rPr>
                <w:rFonts w:ascii="Times New Roman" w:hAnsi="Times New Roman" w:cs="Times New Roman"/>
                <w:sz w:val="24"/>
                <w:szCs w:val="24"/>
              </w:rPr>
              <w:t>22.49</w:t>
            </w:r>
          </w:p>
        </w:tc>
        <w:tc>
          <w:tcPr>
            <w:tcW w:w="1459" w:type="dxa"/>
            <w:shd w:val="clear" w:color="auto" w:fill="auto"/>
            <w:vAlign w:val="center"/>
          </w:tcPr>
          <w:p w14:paraId="67A1114B" w14:textId="6043990E" w:rsidR="009B3561" w:rsidRDefault="009B3561" w:rsidP="009017B5">
            <w:pPr>
              <w:spacing w:after="120"/>
              <w:jc w:val="right"/>
              <w:rPr>
                <w:rFonts w:ascii="Times New Roman" w:hAnsi="Times New Roman" w:cs="Times New Roman"/>
                <w:sz w:val="24"/>
                <w:szCs w:val="24"/>
              </w:rPr>
            </w:pPr>
            <w:r>
              <w:rPr>
                <w:rFonts w:ascii="Times New Roman" w:hAnsi="Times New Roman" w:cs="Times New Roman"/>
                <w:sz w:val="24"/>
                <w:szCs w:val="24"/>
              </w:rPr>
              <w:t>23.59</w:t>
            </w:r>
          </w:p>
        </w:tc>
        <w:tc>
          <w:tcPr>
            <w:tcW w:w="1143" w:type="dxa"/>
            <w:vAlign w:val="center"/>
          </w:tcPr>
          <w:p w14:paraId="7A88A253" w14:textId="0B5A86E1" w:rsidR="009B3561" w:rsidRDefault="009B3561" w:rsidP="009B3561">
            <w:pPr>
              <w:spacing w:after="120"/>
              <w:jc w:val="right"/>
              <w:rPr>
                <w:rFonts w:ascii="Times New Roman" w:hAnsi="Times New Roman" w:cs="Times New Roman"/>
                <w:sz w:val="24"/>
                <w:szCs w:val="24"/>
              </w:rPr>
            </w:pPr>
            <w:r>
              <w:rPr>
                <w:rFonts w:ascii="Times New Roman" w:hAnsi="Times New Roman" w:cs="Times New Roman"/>
                <w:sz w:val="24"/>
                <w:szCs w:val="24"/>
              </w:rPr>
              <w:t>22.06</w:t>
            </w:r>
          </w:p>
        </w:tc>
        <w:tc>
          <w:tcPr>
            <w:tcW w:w="1603" w:type="dxa"/>
            <w:shd w:val="clear" w:color="auto" w:fill="auto"/>
            <w:vAlign w:val="center"/>
          </w:tcPr>
          <w:p w14:paraId="29214FB3" w14:textId="6DEEBAFE" w:rsidR="009B3561" w:rsidRDefault="009B3561" w:rsidP="009B3561">
            <w:pPr>
              <w:spacing w:after="120"/>
              <w:jc w:val="right"/>
              <w:rPr>
                <w:rFonts w:ascii="Times New Roman" w:hAnsi="Times New Roman" w:cs="Times New Roman"/>
                <w:sz w:val="24"/>
                <w:szCs w:val="24"/>
              </w:rPr>
            </w:pPr>
            <w:r>
              <w:rPr>
                <w:rFonts w:ascii="Times New Roman" w:hAnsi="Times New Roman" w:cs="Times New Roman"/>
                <w:sz w:val="24"/>
                <w:szCs w:val="24"/>
              </w:rPr>
              <w:t>22.18</w:t>
            </w:r>
          </w:p>
        </w:tc>
      </w:tr>
      <w:tr w:rsidR="009B3561" w14:paraId="2462E656" w14:textId="77777777" w:rsidTr="009B3561">
        <w:tc>
          <w:tcPr>
            <w:tcW w:w="3422" w:type="dxa"/>
            <w:gridSpan w:val="2"/>
            <w:shd w:val="clear" w:color="auto" w:fill="auto"/>
            <w:vAlign w:val="center"/>
          </w:tcPr>
          <w:p w14:paraId="2F435D34" w14:textId="092C976C" w:rsidR="009B3561" w:rsidRDefault="009B3561" w:rsidP="009017B5">
            <w:pPr>
              <w:spacing w:after="120"/>
              <w:rPr>
                <w:rFonts w:ascii="Times New Roman" w:hAnsi="Times New Roman" w:cs="Times New Roman"/>
                <w:sz w:val="24"/>
                <w:szCs w:val="24"/>
              </w:rPr>
            </w:pPr>
            <w:r>
              <w:rPr>
                <w:rFonts w:ascii="Times New Roman" w:hAnsi="Times New Roman" w:cs="Times New Roman"/>
                <w:sz w:val="24"/>
                <w:szCs w:val="24"/>
              </w:rPr>
              <w:t>Net Return over Labor &amp; Mgmt. per acre</w:t>
            </w:r>
          </w:p>
        </w:tc>
        <w:tc>
          <w:tcPr>
            <w:tcW w:w="1733" w:type="dxa"/>
            <w:shd w:val="clear" w:color="auto" w:fill="auto"/>
            <w:vAlign w:val="center"/>
          </w:tcPr>
          <w:p w14:paraId="465B4F75" w14:textId="6DEA402E" w:rsidR="009B3561" w:rsidRDefault="009B3561" w:rsidP="009017B5">
            <w:pPr>
              <w:spacing w:after="120"/>
              <w:jc w:val="right"/>
              <w:rPr>
                <w:rFonts w:ascii="Times New Roman" w:hAnsi="Times New Roman" w:cs="Times New Roman"/>
                <w:sz w:val="24"/>
                <w:szCs w:val="24"/>
              </w:rPr>
            </w:pPr>
            <w:r>
              <w:rPr>
                <w:rFonts w:ascii="Times New Roman" w:hAnsi="Times New Roman" w:cs="Times New Roman"/>
                <w:sz w:val="24"/>
                <w:szCs w:val="24"/>
              </w:rPr>
              <w:t>19.59</w:t>
            </w:r>
          </w:p>
        </w:tc>
        <w:tc>
          <w:tcPr>
            <w:tcW w:w="1459" w:type="dxa"/>
            <w:shd w:val="clear" w:color="auto" w:fill="auto"/>
            <w:vAlign w:val="center"/>
          </w:tcPr>
          <w:p w14:paraId="380424DB" w14:textId="4344FE13" w:rsidR="009B3561" w:rsidRDefault="009B3561" w:rsidP="009017B5">
            <w:pPr>
              <w:spacing w:after="120"/>
              <w:jc w:val="right"/>
              <w:rPr>
                <w:rFonts w:ascii="Times New Roman" w:hAnsi="Times New Roman" w:cs="Times New Roman"/>
                <w:sz w:val="24"/>
                <w:szCs w:val="24"/>
              </w:rPr>
            </w:pPr>
            <w:r>
              <w:rPr>
                <w:rFonts w:ascii="Times New Roman" w:hAnsi="Times New Roman" w:cs="Times New Roman"/>
                <w:sz w:val="24"/>
                <w:szCs w:val="24"/>
              </w:rPr>
              <w:t>−98.05</w:t>
            </w:r>
          </w:p>
        </w:tc>
        <w:tc>
          <w:tcPr>
            <w:tcW w:w="1143" w:type="dxa"/>
            <w:vAlign w:val="center"/>
          </w:tcPr>
          <w:p w14:paraId="298C3CD4" w14:textId="40311CA9" w:rsidR="009B3561" w:rsidRDefault="009B3561" w:rsidP="009B3561">
            <w:pPr>
              <w:spacing w:after="120"/>
              <w:jc w:val="right"/>
              <w:rPr>
                <w:rFonts w:ascii="Times New Roman" w:hAnsi="Times New Roman" w:cs="Times New Roman"/>
                <w:sz w:val="24"/>
                <w:szCs w:val="24"/>
              </w:rPr>
            </w:pPr>
            <w:r>
              <w:rPr>
                <w:rFonts w:ascii="Times New Roman" w:hAnsi="Times New Roman" w:cs="Times New Roman"/>
                <w:sz w:val="24"/>
                <w:szCs w:val="24"/>
              </w:rPr>
              <w:t>7.74</w:t>
            </w:r>
          </w:p>
        </w:tc>
        <w:tc>
          <w:tcPr>
            <w:tcW w:w="1603" w:type="dxa"/>
            <w:shd w:val="clear" w:color="auto" w:fill="auto"/>
            <w:vAlign w:val="center"/>
          </w:tcPr>
          <w:p w14:paraId="1206A7E0" w14:textId="66C83453" w:rsidR="009B3561" w:rsidRDefault="009B3561" w:rsidP="009B3561">
            <w:pPr>
              <w:spacing w:after="120"/>
              <w:jc w:val="right"/>
              <w:rPr>
                <w:rFonts w:ascii="Times New Roman" w:hAnsi="Times New Roman" w:cs="Times New Roman"/>
                <w:sz w:val="24"/>
                <w:szCs w:val="24"/>
              </w:rPr>
            </w:pPr>
            <w:r>
              <w:rPr>
                <w:rFonts w:ascii="Times New Roman" w:hAnsi="Times New Roman" w:cs="Times New Roman"/>
                <w:sz w:val="24"/>
                <w:szCs w:val="24"/>
              </w:rPr>
              <w:t>93.36</w:t>
            </w:r>
          </w:p>
        </w:tc>
      </w:tr>
      <w:tr w:rsidR="009B3561" w14:paraId="2C4674AA" w14:textId="77777777" w:rsidTr="009B3561">
        <w:tc>
          <w:tcPr>
            <w:tcW w:w="3422" w:type="dxa"/>
            <w:gridSpan w:val="2"/>
            <w:shd w:val="clear" w:color="auto" w:fill="auto"/>
            <w:vAlign w:val="center"/>
          </w:tcPr>
          <w:p w14:paraId="012B404C" w14:textId="77777777" w:rsidR="009B3561" w:rsidRDefault="009B3561" w:rsidP="009017B5">
            <w:pPr>
              <w:contextualSpacing/>
              <w:rPr>
                <w:rFonts w:ascii="Times New Roman" w:hAnsi="Times New Roman" w:cs="Times New Roman"/>
                <w:sz w:val="24"/>
                <w:szCs w:val="24"/>
              </w:rPr>
            </w:pPr>
          </w:p>
        </w:tc>
        <w:tc>
          <w:tcPr>
            <w:tcW w:w="1733" w:type="dxa"/>
            <w:shd w:val="clear" w:color="auto" w:fill="auto"/>
            <w:vAlign w:val="center"/>
          </w:tcPr>
          <w:p w14:paraId="734E48EC" w14:textId="77777777" w:rsidR="009B3561" w:rsidRDefault="009B3561" w:rsidP="009017B5">
            <w:pPr>
              <w:contextualSpacing/>
              <w:jc w:val="right"/>
              <w:rPr>
                <w:rFonts w:ascii="Times New Roman" w:hAnsi="Times New Roman" w:cs="Times New Roman"/>
                <w:sz w:val="24"/>
                <w:szCs w:val="24"/>
              </w:rPr>
            </w:pPr>
          </w:p>
        </w:tc>
        <w:tc>
          <w:tcPr>
            <w:tcW w:w="1459" w:type="dxa"/>
            <w:shd w:val="clear" w:color="auto" w:fill="auto"/>
            <w:vAlign w:val="center"/>
          </w:tcPr>
          <w:p w14:paraId="1D50711C" w14:textId="77777777" w:rsidR="009B3561" w:rsidRDefault="009B3561" w:rsidP="009017B5">
            <w:pPr>
              <w:contextualSpacing/>
              <w:jc w:val="right"/>
              <w:rPr>
                <w:rFonts w:ascii="Times New Roman" w:hAnsi="Times New Roman" w:cs="Times New Roman"/>
                <w:sz w:val="24"/>
                <w:szCs w:val="24"/>
              </w:rPr>
            </w:pPr>
          </w:p>
        </w:tc>
        <w:tc>
          <w:tcPr>
            <w:tcW w:w="1143" w:type="dxa"/>
            <w:vAlign w:val="center"/>
          </w:tcPr>
          <w:p w14:paraId="03D115A9" w14:textId="77777777" w:rsidR="009B3561" w:rsidRDefault="009B3561" w:rsidP="009B3561">
            <w:pPr>
              <w:contextualSpacing/>
              <w:jc w:val="right"/>
              <w:rPr>
                <w:rFonts w:ascii="Times New Roman" w:hAnsi="Times New Roman" w:cs="Times New Roman"/>
                <w:sz w:val="24"/>
                <w:szCs w:val="24"/>
              </w:rPr>
            </w:pPr>
          </w:p>
        </w:tc>
        <w:tc>
          <w:tcPr>
            <w:tcW w:w="1603" w:type="dxa"/>
            <w:shd w:val="clear" w:color="auto" w:fill="auto"/>
            <w:vAlign w:val="center"/>
          </w:tcPr>
          <w:p w14:paraId="3210096D" w14:textId="04066158" w:rsidR="009B3561" w:rsidRDefault="009B3561" w:rsidP="009B3561">
            <w:pPr>
              <w:contextualSpacing/>
              <w:jc w:val="right"/>
              <w:rPr>
                <w:rFonts w:ascii="Times New Roman" w:hAnsi="Times New Roman" w:cs="Times New Roman"/>
                <w:sz w:val="24"/>
                <w:szCs w:val="24"/>
              </w:rPr>
            </w:pPr>
          </w:p>
        </w:tc>
      </w:tr>
      <w:tr w:rsidR="009B3561" w14:paraId="056DA94A" w14:textId="77777777" w:rsidTr="009B3561">
        <w:tc>
          <w:tcPr>
            <w:tcW w:w="3422" w:type="dxa"/>
            <w:gridSpan w:val="2"/>
            <w:tcBorders>
              <w:bottom w:val="single" w:sz="4" w:space="0" w:color="auto"/>
            </w:tcBorders>
            <w:shd w:val="clear" w:color="auto" w:fill="auto"/>
            <w:vAlign w:val="center"/>
          </w:tcPr>
          <w:p w14:paraId="25F65DF9" w14:textId="7DFF54F2" w:rsidR="009B3561" w:rsidRDefault="009B3561" w:rsidP="009017B5">
            <w:pPr>
              <w:spacing w:after="120"/>
              <w:rPr>
                <w:rFonts w:ascii="Times New Roman" w:hAnsi="Times New Roman" w:cs="Times New Roman"/>
                <w:sz w:val="24"/>
                <w:szCs w:val="24"/>
              </w:rPr>
            </w:pPr>
            <w:r>
              <w:rPr>
                <w:rFonts w:ascii="Times New Roman" w:hAnsi="Times New Roman" w:cs="Times New Roman"/>
                <w:sz w:val="24"/>
                <w:szCs w:val="24"/>
              </w:rPr>
              <w:t>Cost of Production with Labor &amp; Mgmt. ($/bu.)</w:t>
            </w:r>
          </w:p>
        </w:tc>
        <w:tc>
          <w:tcPr>
            <w:tcW w:w="1733" w:type="dxa"/>
            <w:tcBorders>
              <w:bottom w:val="single" w:sz="4" w:space="0" w:color="auto"/>
            </w:tcBorders>
            <w:shd w:val="clear" w:color="auto" w:fill="auto"/>
            <w:vAlign w:val="center"/>
          </w:tcPr>
          <w:p w14:paraId="777FE67B" w14:textId="4B67ECEB" w:rsidR="009B3561" w:rsidRDefault="009B3561" w:rsidP="009017B5">
            <w:pPr>
              <w:spacing w:after="120"/>
              <w:jc w:val="right"/>
              <w:rPr>
                <w:rFonts w:ascii="Times New Roman" w:hAnsi="Times New Roman" w:cs="Times New Roman"/>
                <w:sz w:val="24"/>
                <w:szCs w:val="24"/>
              </w:rPr>
            </w:pPr>
            <w:r>
              <w:rPr>
                <w:rFonts w:ascii="Times New Roman" w:hAnsi="Times New Roman" w:cs="Times New Roman"/>
                <w:sz w:val="24"/>
                <w:szCs w:val="24"/>
              </w:rPr>
              <w:t>4.53</w:t>
            </w:r>
          </w:p>
        </w:tc>
        <w:tc>
          <w:tcPr>
            <w:tcW w:w="1459" w:type="dxa"/>
            <w:tcBorders>
              <w:bottom w:val="single" w:sz="4" w:space="0" w:color="auto"/>
            </w:tcBorders>
            <w:shd w:val="clear" w:color="auto" w:fill="auto"/>
            <w:vAlign w:val="center"/>
          </w:tcPr>
          <w:p w14:paraId="00B9F266" w14:textId="4E017212" w:rsidR="009B3561" w:rsidRDefault="009B3561" w:rsidP="009017B5">
            <w:pPr>
              <w:spacing w:after="120"/>
              <w:jc w:val="right"/>
              <w:rPr>
                <w:rFonts w:ascii="Times New Roman" w:hAnsi="Times New Roman" w:cs="Times New Roman"/>
                <w:sz w:val="24"/>
                <w:szCs w:val="24"/>
              </w:rPr>
            </w:pPr>
            <w:r>
              <w:rPr>
                <w:rFonts w:ascii="Times New Roman" w:hAnsi="Times New Roman" w:cs="Times New Roman"/>
                <w:sz w:val="24"/>
                <w:szCs w:val="24"/>
              </w:rPr>
              <w:t>6.84</w:t>
            </w:r>
          </w:p>
        </w:tc>
        <w:tc>
          <w:tcPr>
            <w:tcW w:w="1143" w:type="dxa"/>
            <w:tcBorders>
              <w:bottom w:val="single" w:sz="4" w:space="0" w:color="auto"/>
            </w:tcBorders>
            <w:vAlign w:val="center"/>
          </w:tcPr>
          <w:p w14:paraId="216DA021" w14:textId="164E6B9E" w:rsidR="009B3561" w:rsidRDefault="009B3561" w:rsidP="009B3561">
            <w:pPr>
              <w:spacing w:after="120"/>
              <w:jc w:val="right"/>
              <w:rPr>
                <w:rFonts w:ascii="Times New Roman" w:hAnsi="Times New Roman" w:cs="Times New Roman"/>
                <w:sz w:val="24"/>
                <w:szCs w:val="24"/>
              </w:rPr>
            </w:pPr>
            <w:r>
              <w:rPr>
                <w:rFonts w:ascii="Times New Roman" w:hAnsi="Times New Roman" w:cs="Times New Roman"/>
                <w:sz w:val="24"/>
                <w:szCs w:val="24"/>
              </w:rPr>
              <w:t>4.72</w:t>
            </w:r>
          </w:p>
        </w:tc>
        <w:tc>
          <w:tcPr>
            <w:tcW w:w="1603" w:type="dxa"/>
            <w:tcBorders>
              <w:bottom w:val="single" w:sz="4" w:space="0" w:color="auto"/>
            </w:tcBorders>
            <w:shd w:val="clear" w:color="auto" w:fill="auto"/>
            <w:vAlign w:val="center"/>
          </w:tcPr>
          <w:p w14:paraId="7894F450" w14:textId="073899B6" w:rsidR="009B3561" w:rsidRDefault="009B3561" w:rsidP="009B3561">
            <w:pPr>
              <w:spacing w:after="120"/>
              <w:jc w:val="right"/>
              <w:rPr>
                <w:rFonts w:ascii="Times New Roman" w:hAnsi="Times New Roman" w:cs="Times New Roman"/>
                <w:sz w:val="24"/>
                <w:szCs w:val="24"/>
              </w:rPr>
            </w:pPr>
            <w:r>
              <w:rPr>
                <w:rFonts w:ascii="Times New Roman" w:hAnsi="Times New Roman" w:cs="Times New Roman"/>
                <w:sz w:val="24"/>
                <w:szCs w:val="24"/>
              </w:rPr>
              <w:t>3.64</w:t>
            </w:r>
          </w:p>
        </w:tc>
      </w:tr>
      <w:tr w:rsidR="009B3561" w14:paraId="521E49CD" w14:textId="77777777" w:rsidTr="00C174D5">
        <w:tc>
          <w:tcPr>
            <w:tcW w:w="9360" w:type="dxa"/>
            <w:gridSpan w:val="6"/>
            <w:tcBorders>
              <w:top w:val="single" w:sz="4" w:space="0" w:color="auto"/>
              <w:bottom w:val="single" w:sz="4" w:space="0" w:color="auto"/>
            </w:tcBorders>
          </w:tcPr>
          <w:p w14:paraId="7F5745D0" w14:textId="05A4D0A2" w:rsidR="009B3561" w:rsidRDefault="009B3561" w:rsidP="009017B5">
            <w:pPr>
              <w:spacing w:after="120"/>
              <w:rPr>
                <w:rFonts w:ascii="Times New Roman" w:hAnsi="Times New Roman" w:cs="Times New Roman"/>
                <w:sz w:val="24"/>
                <w:szCs w:val="24"/>
              </w:rPr>
            </w:pPr>
            <w:r>
              <w:rPr>
                <w:rFonts w:ascii="Times New Roman" w:hAnsi="Times New Roman" w:cs="Times New Roman"/>
                <w:sz w:val="24"/>
                <w:szCs w:val="24"/>
              </w:rPr>
              <w:t>**Note that gross return includes ad hoc government payments, crop insurance, and miscellaneous crop income but not cyclical government payments (e.g., ARC/PLC).</w:t>
            </w:r>
          </w:p>
        </w:tc>
      </w:tr>
    </w:tbl>
    <w:p w14:paraId="5615AF84" w14:textId="7996C8A4" w:rsidR="00D90815" w:rsidRDefault="00D90815" w:rsidP="00E85A4B">
      <w:pPr>
        <w:spacing w:after="0" w:line="240" w:lineRule="auto"/>
        <w:ind w:firstLine="720"/>
        <w:contextualSpacing/>
        <w:rPr>
          <w:rFonts w:ascii="Times New Roman" w:hAnsi="Times New Roman" w:cs="Times New Roman"/>
          <w:sz w:val="24"/>
          <w:szCs w:val="24"/>
        </w:rPr>
      </w:pPr>
    </w:p>
    <w:p w14:paraId="289C25E7" w14:textId="2AFEE560" w:rsidR="003D5076" w:rsidRDefault="00BF42F2" w:rsidP="00BF42F2">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While benchmarking is useful to assess problems, use care to consider varia</w:t>
      </w:r>
      <w:r w:rsidR="00830A78">
        <w:rPr>
          <w:rFonts w:ascii="Times New Roman" w:hAnsi="Times New Roman" w:cs="Times New Roman"/>
          <w:sz w:val="24"/>
          <w:szCs w:val="24"/>
        </w:rPr>
        <w:t>bles that can change</w:t>
      </w:r>
      <w:r>
        <w:rPr>
          <w:rFonts w:ascii="Times New Roman" w:hAnsi="Times New Roman" w:cs="Times New Roman"/>
          <w:sz w:val="24"/>
          <w:szCs w:val="24"/>
        </w:rPr>
        <w:t xml:space="preserve"> each year</w:t>
      </w:r>
      <w:r w:rsidR="00830A78">
        <w:rPr>
          <w:rFonts w:ascii="Times New Roman" w:hAnsi="Times New Roman" w:cs="Times New Roman"/>
          <w:sz w:val="24"/>
          <w:szCs w:val="24"/>
        </w:rPr>
        <w:t xml:space="preserve"> and create anomalies. </w:t>
      </w:r>
      <w:r w:rsidR="006F46C3">
        <w:rPr>
          <w:rFonts w:ascii="Times New Roman" w:hAnsi="Times New Roman" w:cs="Times New Roman"/>
          <w:sz w:val="24"/>
          <w:szCs w:val="24"/>
        </w:rPr>
        <w:t>Extreme weather</w:t>
      </w:r>
      <w:r w:rsidR="0054040D">
        <w:rPr>
          <w:rFonts w:ascii="Times New Roman" w:hAnsi="Times New Roman" w:cs="Times New Roman"/>
          <w:sz w:val="24"/>
          <w:szCs w:val="24"/>
        </w:rPr>
        <w:t xml:space="preserve"> is one of the most common causes of drastic changes from year to year and can often make it difficult to benchmark yields or profits.</w:t>
      </w:r>
      <w:r w:rsidR="00392E2E">
        <w:rPr>
          <w:rFonts w:ascii="Times New Roman" w:hAnsi="Times New Roman" w:cs="Times New Roman"/>
          <w:sz w:val="24"/>
          <w:szCs w:val="24"/>
        </w:rPr>
        <w:t xml:space="preserve"> </w:t>
      </w:r>
      <w:r w:rsidR="00460EF2">
        <w:rPr>
          <w:rFonts w:ascii="Times New Roman" w:hAnsi="Times New Roman" w:cs="Times New Roman"/>
          <w:sz w:val="24"/>
          <w:szCs w:val="24"/>
        </w:rPr>
        <w:t xml:space="preserve">It may be useful to benchmark three- or five-year averages to “normalize” results. </w:t>
      </w:r>
      <w:r w:rsidR="00392E2E">
        <w:rPr>
          <w:rFonts w:ascii="Times New Roman" w:hAnsi="Times New Roman" w:cs="Times New Roman"/>
          <w:sz w:val="24"/>
          <w:szCs w:val="24"/>
        </w:rPr>
        <w:t>It is important to note that economies of scale</w:t>
      </w:r>
      <w:r w:rsidR="00D02E63">
        <w:rPr>
          <w:rFonts w:ascii="Times New Roman" w:hAnsi="Times New Roman" w:cs="Times New Roman"/>
          <w:sz w:val="24"/>
          <w:szCs w:val="24"/>
        </w:rPr>
        <w:t xml:space="preserve">, farm size, and type of farm </w:t>
      </w:r>
      <w:r w:rsidR="00392E2E">
        <w:rPr>
          <w:rFonts w:ascii="Times New Roman" w:hAnsi="Times New Roman" w:cs="Times New Roman"/>
          <w:sz w:val="24"/>
          <w:szCs w:val="24"/>
        </w:rPr>
        <w:t>can affect some benchmark values</w:t>
      </w:r>
      <w:r w:rsidR="00D02E63">
        <w:rPr>
          <w:rFonts w:ascii="Times New Roman" w:hAnsi="Times New Roman" w:cs="Times New Roman"/>
          <w:sz w:val="24"/>
          <w:szCs w:val="24"/>
        </w:rPr>
        <w:t>. Be careful when benchmarking financial benchmarks on a whole farm basis</w:t>
      </w:r>
      <w:r w:rsidR="00C174D5">
        <w:rPr>
          <w:rFonts w:ascii="Times New Roman" w:hAnsi="Times New Roman" w:cs="Times New Roman"/>
          <w:sz w:val="24"/>
          <w:szCs w:val="24"/>
        </w:rPr>
        <w:t xml:space="preserve"> due to differences in </w:t>
      </w:r>
      <w:r w:rsidR="00C174D5">
        <w:rPr>
          <w:rFonts w:ascii="Times New Roman" w:hAnsi="Times New Roman" w:cs="Times New Roman"/>
          <w:sz w:val="24"/>
          <w:szCs w:val="24"/>
        </w:rPr>
        <w:lastRenderedPageBreak/>
        <w:t>types of crop and livestock produced</w:t>
      </w:r>
      <w:r w:rsidR="00D02E63">
        <w:rPr>
          <w:rFonts w:ascii="Times New Roman" w:hAnsi="Times New Roman" w:cs="Times New Roman"/>
          <w:sz w:val="24"/>
          <w:szCs w:val="24"/>
        </w:rPr>
        <w:t xml:space="preserve">. </w:t>
      </w:r>
      <w:r w:rsidR="00B53B52">
        <w:rPr>
          <w:rFonts w:ascii="Times New Roman" w:hAnsi="Times New Roman" w:cs="Times New Roman"/>
          <w:sz w:val="24"/>
          <w:szCs w:val="24"/>
        </w:rPr>
        <w:t>For instance, benchmarking a crop farm against a livestock farm is not likely useful because of the differences in production, commodity price cycling, costs</w:t>
      </w:r>
      <w:r w:rsidR="00C174D5">
        <w:rPr>
          <w:rFonts w:ascii="Times New Roman" w:hAnsi="Times New Roman" w:cs="Times New Roman"/>
          <w:sz w:val="24"/>
          <w:szCs w:val="24"/>
        </w:rPr>
        <w:t>,</w:t>
      </w:r>
      <w:r w:rsidR="00B53B52">
        <w:rPr>
          <w:rFonts w:ascii="Times New Roman" w:hAnsi="Times New Roman" w:cs="Times New Roman"/>
          <w:sz w:val="24"/>
          <w:szCs w:val="24"/>
        </w:rPr>
        <w:t xml:space="preserve"> and returns. </w:t>
      </w:r>
      <w:r w:rsidR="00C174D5">
        <w:rPr>
          <w:rFonts w:ascii="Times New Roman" w:hAnsi="Times New Roman" w:cs="Times New Roman"/>
          <w:sz w:val="24"/>
          <w:szCs w:val="24"/>
        </w:rPr>
        <w:t>B</w:t>
      </w:r>
      <w:r w:rsidR="00D02E63">
        <w:rPr>
          <w:rFonts w:ascii="Times New Roman" w:hAnsi="Times New Roman" w:cs="Times New Roman"/>
          <w:sz w:val="24"/>
          <w:szCs w:val="24"/>
        </w:rPr>
        <w:t xml:space="preserve">enchmark </w:t>
      </w:r>
      <w:r w:rsidR="00B53B52">
        <w:rPr>
          <w:rFonts w:ascii="Times New Roman" w:hAnsi="Times New Roman" w:cs="Times New Roman"/>
          <w:sz w:val="24"/>
          <w:szCs w:val="24"/>
        </w:rPr>
        <w:t xml:space="preserve">crop and livestock </w:t>
      </w:r>
      <w:r w:rsidR="00D02E63">
        <w:rPr>
          <w:rFonts w:ascii="Times New Roman" w:hAnsi="Times New Roman" w:cs="Times New Roman"/>
          <w:sz w:val="24"/>
          <w:szCs w:val="24"/>
        </w:rPr>
        <w:t xml:space="preserve">enterprises </w:t>
      </w:r>
      <w:r w:rsidR="00B53B52">
        <w:rPr>
          <w:rFonts w:ascii="Times New Roman" w:hAnsi="Times New Roman" w:cs="Times New Roman"/>
          <w:sz w:val="24"/>
          <w:szCs w:val="24"/>
        </w:rPr>
        <w:t xml:space="preserve">separately </w:t>
      </w:r>
      <w:r w:rsidR="00D02E63">
        <w:rPr>
          <w:rFonts w:ascii="Times New Roman" w:hAnsi="Times New Roman" w:cs="Times New Roman"/>
          <w:sz w:val="24"/>
          <w:szCs w:val="24"/>
        </w:rPr>
        <w:t>to make fair comparisons.</w:t>
      </w:r>
    </w:p>
    <w:p w14:paraId="5468AE51" w14:textId="4A64CC61" w:rsidR="009B455A" w:rsidRPr="009B455A" w:rsidRDefault="009B455A" w:rsidP="009B455A">
      <w:pPr>
        <w:spacing w:after="0" w:line="480" w:lineRule="auto"/>
        <w:ind w:firstLine="720"/>
        <w:contextualSpacing/>
        <w:rPr>
          <w:rFonts w:ascii="Times New Roman" w:hAnsi="Times New Roman" w:cs="Times New Roman"/>
          <w:sz w:val="24"/>
          <w:szCs w:val="24"/>
        </w:rPr>
      </w:pPr>
      <w:r w:rsidRPr="009B455A">
        <w:rPr>
          <w:rFonts w:ascii="Times New Roman" w:hAnsi="Times New Roman" w:cs="Times New Roman"/>
          <w:sz w:val="24"/>
          <w:szCs w:val="24"/>
        </w:rPr>
        <w:t xml:space="preserve">To learn more about </w:t>
      </w:r>
      <w:r>
        <w:rPr>
          <w:rFonts w:ascii="Times New Roman" w:hAnsi="Times New Roman" w:cs="Times New Roman"/>
          <w:sz w:val="24"/>
          <w:szCs w:val="24"/>
        </w:rPr>
        <w:t>farm financial benchmarking</w:t>
      </w:r>
      <w:r w:rsidRPr="009B455A">
        <w:rPr>
          <w:rFonts w:ascii="Times New Roman" w:hAnsi="Times New Roman" w:cs="Times New Roman"/>
          <w:sz w:val="24"/>
          <w:szCs w:val="24"/>
        </w:rPr>
        <w:t xml:space="preserve"> and other financial questions on North Dakota farms and ranches, see the North Dakota Farm Management Education </w:t>
      </w:r>
      <w:r w:rsidR="000F2E7C">
        <w:rPr>
          <w:rFonts w:ascii="Times New Roman" w:hAnsi="Times New Roman" w:cs="Times New Roman"/>
          <w:sz w:val="24"/>
          <w:szCs w:val="24"/>
        </w:rPr>
        <w:t xml:space="preserve">Program </w:t>
      </w:r>
      <w:r w:rsidRPr="009B455A">
        <w:rPr>
          <w:rFonts w:ascii="Times New Roman" w:hAnsi="Times New Roman" w:cs="Times New Roman"/>
          <w:sz w:val="24"/>
          <w:szCs w:val="24"/>
        </w:rPr>
        <w:t xml:space="preserve">website at </w:t>
      </w:r>
      <w:hyperlink r:id="rId9" w:history="1">
        <w:r w:rsidRPr="009B455A">
          <w:rPr>
            <w:rStyle w:val="Hyperlink"/>
            <w:rFonts w:ascii="Times New Roman" w:hAnsi="Times New Roman" w:cs="Times New Roman"/>
            <w:sz w:val="24"/>
            <w:szCs w:val="24"/>
          </w:rPr>
          <w:t>www.ndfarmmanagement.com</w:t>
        </w:r>
      </w:hyperlink>
      <w:r w:rsidRPr="009B455A">
        <w:rPr>
          <w:rFonts w:ascii="Times New Roman" w:hAnsi="Times New Roman" w:cs="Times New Roman"/>
          <w:sz w:val="24"/>
          <w:szCs w:val="24"/>
        </w:rPr>
        <w:t>. Reports can be viewed on a regional or statewide basis. Contact information is also available for farm management educators throughout the state.</w:t>
      </w:r>
    </w:p>
    <w:p w14:paraId="0FB2645A" w14:textId="4FA10A1F" w:rsidR="009B455A" w:rsidRPr="001428D5" w:rsidRDefault="009B455A" w:rsidP="009B455A">
      <w:pPr>
        <w:spacing w:after="0" w:line="480" w:lineRule="auto"/>
        <w:ind w:firstLine="720"/>
        <w:contextualSpacing/>
        <w:rPr>
          <w:rFonts w:ascii="Times New Roman" w:hAnsi="Times New Roman" w:cs="Times New Roman"/>
          <w:sz w:val="24"/>
          <w:szCs w:val="24"/>
        </w:rPr>
      </w:pPr>
      <w:r w:rsidRPr="009B455A">
        <w:rPr>
          <w:rFonts w:ascii="Times New Roman" w:hAnsi="Times New Roman" w:cs="Times New Roman"/>
          <w:sz w:val="24"/>
          <w:szCs w:val="24"/>
        </w:rPr>
        <w:t>For more information on the N</w:t>
      </w:r>
      <w:r w:rsidR="00176FD0">
        <w:rPr>
          <w:rFonts w:ascii="Times New Roman" w:hAnsi="Times New Roman" w:cs="Times New Roman"/>
          <w:sz w:val="24"/>
          <w:szCs w:val="24"/>
        </w:rPr>
        <w:t>orth Dakota Farm Management Education</w:t>
      </w:r>
      <w:r w:rsidRPr="009B455A">
        <w:rPr>
          <w:rFonts w:ascii="Times New Roman" w:hAnsi="Times New Roman" w:cs="Times New Roman"/>
          <w:sz w:val="24"/>
          <w:szCs w:val="24"/>
        </w:rPr>
        <w:t xml:space="preserve"> </w:t>
      </w:r>
      <w:r w:rsidR="00176FD0">
        <w:rPr>
          <w:rFonts w:ascii="Times New Roman" w:hAnsi="Times New Roman" w:cs="Times New Roman"/>
          <w:sz w:val="24"/>
          <w:szCs w:val="24"/>
        </w:rPr>
        <w:t>P</w:t>
      </w:r>
      <w:r w:rsidRPr="009B455A">
        <w:rPr>
          <w:rFonts w:ascii="Times New Roman" w:hAnsi="Times New Roman" w:cs="Times New Roman"/>
          <w:sz w:val="24"/>
          <w:szCs w:val="24"/>
        </w:rPr>
        <w:t xml:space="preserve">rogram, contact </w:t>
      </w:r>
      <w:r>
        <w:rPr>
          <w:rFonts w:ascii="Times New Roman" w:hAnsi="Times New Roman" w:cs="Times New Roman"/>
          <w:sz w:val="24"/>
          <w:szCs w:val="24"/>
        </w:rPr>
        <w:t>Craig Kleven</w:t>
      </w:r>
      <w:r w:rsidRPr="009B455A">
        <w:rPr>
          <w:rFonts w:ascii="Times New Roman" w:hAnsi="Times New Roman" w:cs="Times New Roman"/>
          <w:sz w:val="24"/>
          <w:szCs w:val="24"/>
        </w:rPr>
        <w:t xml:space="preserve">, state supervisor for agricultural education, at </w:t>
      </w:r>
      <w:hyperlink r:id="rId10" w:history="1">
        <w:r w:rsidR="000F2E7C" w:rsidRPr="004B69ED">
          <w:rPr>
            <w:rStyle w:val="Hyperlink"/>
            <w:rFonts w:ascii="Times New Roman" w:hAnsi="Times New Roman" w:cs="Times New Roman"/>
            <w:sz w:val="24"/>
            <w:szCs w:val="24"/>
          </w:rPr>
          <w:t>crkleven@nd.gov</w:t>
        </w:r>
      </w:hyperlink>
      <w:r w:rsidR="000F2E7C">
        <w:rPr>
          <w:rFonts w:ascii="Times New Roman" w:hAnsi="Times New Roman" w:cs="Times New Roman"/>
          <w:sz w:val="24"/>
          <w:szCs w:val="24"/>
        </w:rPr>
        <w:t xml:space="preserve"> or </w:t>
      </w:r>
      <w:r w:rsidRPr="009B455A">
        <w:rPr>
          <w:rFonts w:ascii="Times New Roman" w:hAnsi="Times New Roman" w:cs="Times New Roman"/>
          <w:sz w:val="24"/>
          <w:szCs w:val="24"/>
        </w:rPr>
        <w:t>701-328-31</w:t>
      </w:r>
      <w:r>
        <w:rPr>
          <w:rFonts w:ascii="Times New Roman" w:hAnsi="Times New Roman" w:cs="Times New Roman"/>
          <w:sz w:val="24"/>
          <w:szCs w:val="24"/>
        </w:rPr>
        <w:t>62</w:t>
      </w:r>
      <w:r w:rsidRPr="009B455A">
        <w:rPr>
          <w:rFonts w:ascii="Times New Roman" w:hAnsi="Times New Roman" w:cs="Times New Roman"/>
          <w:sz w:val="24"/>
          <w:szCs w:val="24"/>
        </w:rPr>
        <w:t>. The ND</w:t>
      </w:r>
      <w:r w:rsidR="00176FD0">
        <w:rPr>
          <w:rFonts w:ascii="Times New Roman" w:hAnsi="Times New Roman" w:cs="Times New Roman"/>
          <w:sz w:val="24"/>
          <w:szCs w:val="24"/>
        </w:rPr>
        <w:t xml:space="preserve"> Farm Management Education P</w:t>
      </w:r>
      <w:r w:rsidRPr="009B455A">
        <w:rPr>
          <w:rFonts w:ascii="Times New Roman" w:hAnsi="Times New Roman" w:cs="Times New Roman"/>
          <w:sz w:val="24"/>
          <w:szCs w:val="24"/>
        </w:rPr>
        <w:t>rogram is sponsored by the North Dakota State Department of Career and Technical Education.</w:t>
      </w:r>
    </w:p>
    <w:sectPr w:rsidR="009B455A" w:rsidRPr="001428D5">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FF09F0" w14:textId="77777777" w:rsidR="00FA0619" w:rsidRDefault="00FA0619" w:rsidP="008F2E79">
      <w:pPr>
        <w:spacing w:after="0" w:line="240" w:lineRule="auto"/>
      </w:pPr>
      <w:r>
        <w:separator/>
      </w:r>
    </w:p>
  </w:endnote>
  <w:endnote w:type="continuationSeparator" w:id="0">
    <w:p w14:paraId="1EC1BE1A" w14:textId="77777777" w:rsidR="00FA0619" w:rsidRDefault="00FA0619" w:rsidP="008F2E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6682668"/>
      <w:docPartObj>
        <w:docPartGallery w:val="Page Numbers (Bottom of Page)"/>
        <w:docPartUnique/>
      </w:docPartObj>
    </w:sdtPr>
    <w:sdtEndPr>
      <w:rPr>
        <w:noProof/>
      </w:rPr>
    </w:sdtEndPr>
    <w:sdtContent>
      <w:p w14:paraId="5FFABF81" w14:textId="38CBD559" w:rsidR="00C174D5" w:rsidRDefault="00C174D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1A57A36" w14:textId="77777777" w:rsidR="00C174D5" w:rsidRDefault="00C174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FC23F8" w14:textId="77777777" w:rsidR="00FA0619" w:rsidRDefault="00FA0619" w:rsidP="008F2E79">
      <w:pPr>
        <w:spacing w:after="0" w:line="240" w:lineRule="auto"/>
      </w:pPr>
      <w:r>
        <w:separator/>
      </w:r>
    </w:p>
  </w:footnote>
  <w:footnote w:type="continuationSeparator" w:id="0">
    <w:p w14:paraId="4263BC25" w14:textId="77777777" w:rsidR="00FA0619" w:rsidRDefault="00FA0619" w:rsidP="008F2E7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DAA"/>
    <w:rsid w:val="000146E2"/>
    <w:rsid w:val="0002286D"/>
    <w:rsid w:val="00025578"/>
    <w:rsid w:val="000676FE"/>
    <w:rsid w:val="0007127D"/>
    <w:rsid w:val="000D7936"/>
    <w:rsid w:val="000F2E7C"/>
    <w:rsid w:val="001348F9"/>
    <w:rsid w:val="001428D5"/>
    <w:rsid w:val="00176FD0"/>
    <w:rsid w:val="00183ABA"/>
    <w:rsid w:val="001D2066"/>
    <w:rsid w:val="001F22AF"/>
    <w:rsid w:val="002634D9"/>
    <w:rsid w:val="00295E95"/>
    <w:rsid w:val="002B7E9A"/>
    <w:rsid w:val="002C5F47"/>
    <w:rsid w:val="002D3470"/>
    <w:rsid w:val="003420B4"/>
    <w:rsid w:val="00386CDA"/>
    <w:rsid w:val="00392E2E"/>
    <w:rsid w:val="003C5E86"/>
    <w:rsid w:val="003D5076"/>
    <w:rsid w:val="00454A2C"/>
    <w:rsid w:val="00460EF2"/>
    <w:rsid w:val="00471D2E"/>
    <w:rsid w:val="00516012"/>
    <w:rsid w:val="0054040D"/>
    <w:rsid w:val="005A261D"/>
    <w:rsid w:val="00601BA6"/>
    <w:rsid w:val="00642DAA"/>
    <w:rsid w:val="006F46C3"/>
    <w:rsid w:val="00747D00"/>
    <w:rsid w:val="007E002E"/>
    <w:rsid w:val="00820FD1"/>
    <w:rsid w:val="00830A78"/>
    <w:rsid w:val="008736D0"/>
    <w:rsid w:val="008F2E79"/>
    <w:rsid w:val="009017B5"/>
    <w:rsid w:val="00930017"/>
    <w:rsid w:val="00980A8F"/>
    <w:rsid w:val="00983473"/>
    <w:rsid w:val="009B3561"/>
    <w:rsid w:val="009B455A"/>
    <w:rsid w:val="009B7209"/>
    <w:rsid w:val="009C5EBA"/>
    <w:rsid w:val="00AC2401"/>
    <w:rsid w:val="00AE6170"/>
    <w:rsid w:val="00B06CFA"/>
    <w:rsid w:val="00B53B52"/>
    <w:rsid w:val="00B647F3"/>
    <w:rsid w:val="00BC7BC3"/>
    <w:rsid w:val="00BF42F2"/>
    <w:rsid w:val="00C00CCD"/>
    <w:rsid w:val="00C174D5"/>
    <w:rsid w:val="00C347FB"/>
    <w:rsid w:val="00C621C5"/>
    <w:rsid w:val="00CA2902"/>
    <w:rsid w:val="00CE0D5B"/>
    <w:rsid w:val="00D02E63"/>
    <w:rsid w:val="00D90815"/>
    <w:rsid w:val="00D91E65"/>
    <w:rsid w:val="00D94F3A"/>
    <w:rsid w:val="00DA1960"/>
    <w:rsid w:val="00DA5C82"/>
    <w:rsid w:val="00DB023F"/>
    <w:rsid w:val="00E11B16"/>
    <w:rsid w:val="00E47365"/>
    <w:rsid w:val="00E85A4B"/>
    <w:rsid w:val="00FA0619"/>
    <w:rsid w:val="00FA3258"/>
    <w:rsid w:val="00FA7F73"/>
    <w:rsid w:val="00FC1C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835C0"/>
  <w15:chartTrackingRefBased/>
  <w15:docId w15:val="{7283561F-AD93-471E-8A46-259D9C450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0815"/>
    <w:rPr>
      <w:color w:val="0563C1" w:themeColor="hyperlink"/>
      <w:u w:val="single"/>
    </w:rPr>
  </w:style>
  <w:style w:type="character" w:styleId="UnresolvedMention">
    <w:name w:val="Unresolved Mention"/>
    <w:basedOn w:val="DefaultParagraphFont"/>
    <w:uiPriority w:val="99"/>
    <w:semiHidden/>
    <w:unhideWhenUsed/>
    <w:rsid w:val="00D90815"/>
    <w:rPr>
      <w:color w:val="605E5C"/>
      <w:shd w:val="clear" w:color="auto" w:fill="E1DFDD"/>
    </w:rPr>
  </w:style>
  <w:style w:type="table" w:styleId="TableGrid">
    <w:name w:val="Table Grid"/>
    <w:basedOn w:val="TableNormal"/>
    <w:uiPriority w:val="39"/>
    <w:rsid w:val="009B72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F2E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2E79"/>
  </w:style>
  <w:style w:type="paragraph" w:styleId="Footer">
    <w:name w:val="footer"/>
    <w:basedOn w:val="Normal"/>
    <w:link w:val="FooterChar"/>
    <w:uiPriority w:val="99"/>
    <w:unhideWhenUsed/>
    <w:rsid w:val="008F2E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2E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dfarmmanagement.com/reports.html"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finbin.umn.edu/"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dfarmmanagement.com/reports.html"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mailto:crkleven@nd.gov" TargetMode="External"/><Relationship Id="rId4" Type="http://schemas.openxmlformats.org/officeDocument/2006/relationships/footnotes" Target="footnotes.xml"/><Relationship Id="rId9" Type="http://schemas.openxmlformats.org/officeDocument/2006/relationships/hyperlink" Target="http://www.ndfarmmanagemen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4</Pages>
  <Words>1007</Words>
  <Characters>5742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Fewell</dc:creator>
  <cp:keywords/>
  <dc:description/>
  <cp:lastModifiedBy>Kleven, Craig</cp:lastModifiedBy>
  <cp:revision>6</cp:revision>
  <dcterms:created xsi:type="dcterms:W3CDTF">2020-12-10T16:51:00Z</dcterms:created>
  <dcterms:modified xsi:type="dcterms:W3CDTF">2021-01-08T14:04:00Z</dcterms:modified>
</cp:coreProperties>
</file>