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0007316D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BUSINESS MEETING</w:t>
      </w:r>
    </w:p>
    <w:p w14:paraId="537BC71D" w14:textId="28E37959" w:rsidR="004C102E" w:rsidRPr="000237B7" w:rsidRDefault="000A405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5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230CE4">
        <w:rPr>
          <w:rFonts w:ascii="Times New Roman" w:hAnsi="Times New Roman" w:cs="Times New Roman"/>
        </w:rPr>
        <w:t>6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Default="004C102E" w:rsidP="004C102E">
      <w:pPr>
        <w:ind w:left="360"/>
      </w:pPr>
    </w:p>
    <w:p w14:paraId="5160E9E5" w14:textId="77777777" w:rsidR="00230CE4" w:rsidRPr="000237B7" w:rsidRDefault="00230CE4" w:rsidP="004C102E">
      <w:pPr>
        <w:ind w:left="360"/>
      </w:pPr>
    </w:p>
    <w:p w14:paraId="67396284" w14:textId="427B9EA4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5C3FCE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 w:rsidRPr="005C3FCE">
        <w:rPr>
          <w:rFonts w:ascii="Times New Roman" w:hAnsi="Times New Roman" w:cs="Times New Roman"/>
          <w:sz w:val="24"/>
          <w:szCs w:val="24"/>
        </w:rPr>
        <w:t>and flag salute-</w:t>
      </w:r>
      <w:r w:rsidR="0017516D">
        <w:rPr>
          <w:rFonts w:ascii="Times New Roman" w:hAnsi="Times New Roman" w:cs="Times New Roman"/>
          <w:sz w:val="24"/>
          <w:szCs w:val="24"/>
        </w:rPr>
        <w:t xml:space="preserve">7:11 </w:t>
      </w:r>
      <w:r w:rsidR="00963604">
        <w:rPr>
          <w:rFonts w:ascii="Times New Roman" w:hAnsi="Times New Roman" w:cs="Times New Roman"/>
          <w:sz w:val="24"/>
          <w:szCs w:val="24"/>
        </w:rPr>
        <w:t xml:space="preserve">by Chair Commissioner Martin. Commissioner </w:t>
      </w:r>
      <w:r w:rsidR="00D546EE">
        <w:rPr>
          <w:rFonts w:ascii="Times New Roman" w:hAnsi="Times New Roman" w:cs="Times New Roman"/>
          <w:sz w:val="24"/>
          <w:szCs w:val="24"/>
        </w:rPr>
        <w:t>Martin</w:t>
      </w:r>
      <w:r w:rsidR="00963604">
        <w:rPr>
          <w:rFonts w:ascii="Times New Roman" w:hAnsi="Times New Roman" w:cs="Times New Roman"/>
          <w:sz w:val="24"/>
          <w:szCs w:val="24"/>
        </w:rPr>
        <w:t xml:space="preserve">, </w:t>
      </w:r>
      <w:r w:rsidR="00944886">
        <w:rPr>
          <w:rFonts w:ascii="Times New Roman" w:hAnsi="Times New Roman" w:cs="Times New Roman"/>
          <w:sz w:val="24"/>
          <w:szCs w:val="24"/>
        </w:rPr>
        <w:t>Commissioner</w:t>
      </w:r>
      <w:r w:rsidR="00963604">
        <w:rPr>
          <w:rFonts w:ascii="Times New Roman" w:hAnsi="Times New Roman" w:cs="Times New Roman"/>
          <w:sz w:val="24"/>
          <w:szCs w:val="24"/>
        </w:rPr>
        <w:t xml:space="preserve"> Mattox, Commissioner Crabtree, Chief McDonald, Secretary Olson, </w:t>
      </w:r>
      <w:r w:rsidR="00944886">
        <w:rPr>
          <w:rFonts w:ascii="Times New Roman" w:hAnsi="Times New Roman" w:cs="Times New Roman"/>
          <w:sz w:val="24"/>
          <w:szCs w:val="24"/>
        </w:rPr>
        <w:t xml:space="preserve">Community member Allen Grenz, FF/LT/EMT Grenz, FF Andrew Hanna, FF Alysa Hanna, FF Gardner, </w:t>
      </w:r>
      <w:r w:rsidR="00D56AA0">
        <w:rPr>
          <w:rFonts w:ascii="Times New Roman" w:hAnsi="Times New Roman" w:cs="Times New Roman"/>
          <w:sz w:val="24"/>
          <w:szCs w:val="24"/>
        </w:rPr>
        <w:t xml:space="preserve">and </w:t>
      </w:r>
      <w:r w:rsidR="00944886">
        <w:rPr>
          <w:rFonts w:ascii="Times New Roman" w:hAnsi="Times New Roman" w:cs="Times New Roman"/>
          <w:sz w:val="24"/>
          <w:szCs w:val="24"/>
        </w:rPr>
        <w:t>FF Stratton were all in attendance.</w:t>
      </w:r>
    </w:p>
    <w:p w14:paraId="11270CB7" w14:textId="77777777" w:rsidR="000853E0" w:rsidRPr="005C3FCE" w:rsidRDefault="000853E0" w:rsidP="000853E0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661AE830" w:rsidR="004C102E" w:rsidRDefault="004C102E" w:rsidP="004C102E">
      <w:pPr>
        <w:numPr>
          <w:ilvl w:val="0"/>
          <w:numId w:val="1"/>
        </w:numPr>
      </w:pPr>
      <w:r w:rsidRPr="005C3FCE">
        <w:t>Public Comment</w:t>
      </w:r>
      <w:r w:rsidR="00547413" w:rsidRPr="005C3FCE">
        <w:t>-</w:t>
      </w:r>
      <w:r w:rsidR="00944886">
        <w:t>N/A</w:t>
      </w:r>
    </w:p>
    <w:p w14:paraId="14C890FA" w14:textId="77777777" w:rsidR="00FA014D" w:rsidRPr="005C3FCE" w:rsidRDefault="00FA014D" w:rsidP="00963604"/>
    <w:p w14:paraId="4A400339" w14:textId="6672DB62" w:rsidR="00FA014D" w:rsidRPr="005C3FCE" w:rsidRDefault="00FA014D" w:rsidP="00FA014D">
      <w:pPr>
        <w:numPr>
          <w:ilvl w:val="1"/>
          <w:numId w:val="1"/>
        </w:numPr>
      </w:pPr>
      <w:r w:rsidRPr="005C3FCE">
        <w:t>Final Actions-</w:t>
      </w:r>
    </w:p>
    <w:bookmarkEnd w:id="1"/>
    <w:p w14:paraId="586A28DA" w14:textId="77777777" w:rsidR="004C102E" w:rsidRPr="005C3FCE" w:rsidRDefault="004C102E" w:rsidP="004C102E"/>
    <w:p w14:paraId="7BAE1E31" w14:textId="4CA48872" w:rsidR="004C102E" w:rsidRDefault="004C102E" w:rsidP="004C102E">
      <w:pPr>
        <w:numPr>
          <w:ilvl w:val="0"/>
          <w:numId w:val="1"/>
        </w:numPr>
      </w:pPr>
      <w:r w:rsidRPr="005C3FCE">
        <w:t>Reading of Minutes</w:t>
      </w:r>
      <w:r w:rsidR="00547413" w:rsidRPr="005C3FCE">
        <w:t>-</w:t>
      </w:r>
      <w:r w:rsidRPr="005C3FCE">
        <w:t xml:space="preserve"> </w:t>
      </w:r>
      <w:r w:rsidR="009D001C">
        <w:t>Regular Business meeting Feb 2, 2026</w:t>
      </w:r>
    </w:p>
    <w:p w14:paraId="30EBDE6F" w14:textId="0A5CFB5E" w:rsidR="005F18C8" w:rsidRPr="005C3FCE" w:rsidRDefault="005F18C8" w:rsidP="005F18C8">
      <w:pPr>
        <w:numPr>
          <w:ilvl w:val="1"/>
          <w:numId w:val="1"/>
        </w:numPr>
      </w:pPr>
      <w:r>
        <w:t>Commission Mattox made a motion to approve the minutes for 1/22/2026</w:t>
      </w:r>
      <w:r w:rsidR="00D56AA0">
        <w:t>.</w:t>
      </w:r>
      <w:r>
        <w:t xml:space="preserve"> Commissioner Martin seconded. Motion passed unanimously.</w:t>
      </w:r>
      <w:r>
        <w:tab/>
      </w:r>
    </w:p>
    <w:p w14:paraId="61C92653" w14:textId="77777777" w:rsidR="004C102E" w:rsidRPr="005C3FCE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5C3FCE">
        <w:t xml:space="preserve">Correspondence – </w:t>
      </w:r>
    </w:p>
    <w:p w14:paraId="42C3E4C7" w14:textId="77777777" w:rsidR="009D001C" w:rsidRDefault="009D001C" w:rsidP="009D001C">
      <w:pPr>
        <w:pStyle w:val="ListParagraph"/>
      </w:pPr>
    </w:p>
    <w:p w14:paraId="28B4FFBE" w14:textId="6403D0E6" w:rsidR="009D001C" w:rsidRDefault="009D001C" w:rsidP="009D001C">
      <w:pPr>
        <w:numPr>
          <w:ilvl w:val="1"/>
          <w:numId w:val="1"/>
        </w:numPr>
      </w:pPr>
      <w:r>
        <w:t>Sewer inspection</w:t>
      </w:r>
    </w:p>
    <w:p w14:paraId="7D1C2559" w14:textId="0BDAB614" w:rsidR="00460F83" w:rsidRDefault="00460F83" w:rsidP="00460F83">
      <w:pPr>
        <w:numPr>
          <w:ilvl w:val="2"/>
          <w:numId w:val="1"/>
        </w:numPr>
      </w:pPr>
      <w:r>
        <w:t>Chief McDonald will do this in the spring due to the weather</w:t>
      </w:r>
    </w:p>
    <w:p w14:paraId="5FBEE20E" w14:textId="69684EE2" w:rsidR="009D001C" w:rsidRDefault="009D001C" w:rsidP="009D001C">
      <w:pPr>
        <w:numPr>
          <w:ilvl w:val="1"/>
          <w:numId w:val="1"/>
        </w:numPr>
      </w:pPr>
      <w:r>
        <w:t>PSE</w:t>
      </w:r>
      <w:r w:rsidR="00815962">
        <w:t xml:space="preserve"> email</w:t>
      </w:r>
    </w:p>
    <w:p w14:paraId="54E9FFFF" w14:textId="5FD17ECA" w:rsidR="00460F83" w:rsidRDefault="00460F83" w:rsidP="00460F83">
      <w:pPr>
        <w:numPr>
          <w:ilvl w:val="2"/>
          <w:numId w:val="1"/>
        </w:numPr>
      </w:pPr>
      <w:r>
        <w:t xml:space="preserve">Secretary Olson </w:t>
      </w:r>
      <w:r w:rsidR="00982CA0">
        <w:t>forwarded</w:t>
      </w:r>
      <w:r w:rsidR="00B76FFA">
        <w:t xml:space="preserve"> </w:t>
      </w:r>
      <w:r>
        <w:t xml:space="preserve">Chief McDonald and Assistant Chief Morris to respond. </w:t>
      </w:r>
    </w:p>
    <w:p w14:paraId="666907B0" w14:textId="236A8C96" w:rsidR="00815962" w:rsidRDefault="009E1836" w:rsidP="009D001C">
      <w:pPr>
        <w:numPr>
          <w:ilvl w:val="1"/>
          <w:numId w:val="1"/>
        </w:numPr>
      </w:pPr>
      <w:r>
        <w:t>VFIS</w:t>
      </w:r>
    </w:p>
    <w:p w14:paraId="7BFFEA07" w14:textId="285DBA95" w:rsidR="00123606" w:rsidRDefault="00F4273B" w:rsidP="00123606">
      <w:pPr>
        <w:numPr>
          <w:ilvl w:val="2"/>
          <w:numId w:val="1"/>
        </w:numPr>
      </w:pPr>
      <w:r>
        <w:t xml:space="preserve">Commissioner Mattox would like to confirm that we will get the same coverage with Enduris that we have with VFIS for the accidental coverage. </w:t>
      </w:r>
    </w:p>
    <w:p w14:paraId="224FAC32" w14:textId="6C5113D5" w:rsidR="007E4F9D" w:rsidRDefault="007E4F9D" w:rsidP="00123606">
      <w:pPr>
        <w:numPr>
          <w:ilvl w:val="2"/>
          <w:numId w:val="1"/>
        </w:numPr>
      </w:pPr>
      <w:r>
        <w:t>Secretary Olson will contact VFIS and Enduris</w:t>
      </w:r>
    </w:p>
    <w:p w14:paraId="1F48D720" w14:textId="3AAA383A" w:rsidR="005F2833" w:rsidRDefault="005F2833" w:rsidP="009D001C">
      <w:pPr>
        <w:numPr>
          <w:ilvl w:val="1"/>
          <w:numId w:val="1"/>
        </w:numPr>
      </w:pPr>
      <w:r>
        <w:t>MES/Se</w:t>
      </w:r>
      <w:r w:rsidR="00241E77">
        <w:t>aWestern</w:t>
      </w:r>
    </w:p>
    <w:p w14:paraId="36452FA3" w14:textId="2BBF10E2" w:rsidR="007E4F9D" w:rsidRDefault="007E4F9D" w:rsidP="007E4F9D">
      <w:pPr>
        <w:numPr>
          <w:ilvl w:val="2"/>
          <w:numId w:val="1"/>
        </w:numPr>
      </w:pPr>
      <w:r>
        <w:t xml:space="preserve">Notice for the change from MES/SeaWestern. </w:t>
      </w:r>
    </w:p>
    <w:p w14:paraId="42691740" w14:textId="607B3C18" w:rsidR="007E4F9D" w:rsidRDefault="007E4F9D" w:rsidP="007E4F9D">
      <w:pPr>
        <w:numPr>
          <w:ilvl w:val="2"/>
          <w:numId w:val="1"/>
        </w:numPr>
      </w:pPr>
      <w:r>
        <w:t xml:space="preserve">Secretary Olson reported that no payment changes of address. </w:t>
      </w:r>
    </w:p>
    <w:p w14:paraId="278855CD" w14:textId="73EB0383" w:rsidR="00241E77" w:rsidRDefault="00241E77" w:rsidP="009D001C">
      <w:pPr>
        <w:numPr>
          <w:ilvl w:val="1"/>
          <w:numId w:val="1"/>
        </w:numPr>
      </w:pPr>
      <w:r>
        <w:t>Drug Free Business price increase</w:t>
      </w:r>
    </w:p>
    <w:p w14:paraId="0E496546" w14:textId="7AC0E45C" w:rsidR="00241E77" w:rsidRDefault="00241E77" w:rsidP="009D001C">
      <w:pPr>
        <w:numPr>
          <w:ilvl w:val="1"/>
          <w:numId w:val="1"/>
        </w:numPr>
      </w:pPr>
      <w:r>
        <w:t>WFCA Conference.</w:t>
      </w:r>
    </w:p>
    <w:p w14:paraId="2543B523" w14:textId="6DB21EF9" w:rsidR="003B2577" w:rsidRPr="005C3FCE" w:rsidRDefault="003B2577" w:rsidP="003B2577">
      <w:pPr>
        <w:numPr>
          <w:ilvl w:val="2"/>
          <w:numId w:val="1"/>
        </w:numPr>
      </w:pPr>
      <w:r>
        <w:t>Secretary Olson</w:t>
      </w:r>
      <w:r w:rsidR="007E4F9D">
        <w:t xml:space="preserve"> will purchase for the webinar for the Spokane 4-year seminar for new commissioners, Chiefs, and secretaries. </w:t>
      </w:r>
    </w:p>
    <w:p w14:paraId="18D42CCC" w14:textId="77777777" w:rsidR="004C102E" w:rsidRPr="005C3FCE" w:rsidRDefault="004C102E" w:rsidP="00460F83"/>
    <w:p w14:paraId="484778F5" w14:textId="5E388D67" w:rsidR="00AA2D05" w:rsidRPr="005C3FCE" w:rsidRDefault="004C102E" w:rsidP="00AA2D05">
      <w:pPr>
        <w:numPr>
          <w:ilvl w:val="0"/>
          <w:numId w:val="1"/>
        </w:numPr>
      </w:pPr>
      <w:r w:rsidRPr="005C3FCE">
        <w:t>Unfinished Business</w:t>
      </w:r>
      <w:r w:rsidR="00547413" w:rsidRPr="005C3FCE">
        <w:t>-</w:t>
      </w:r>
    </w:p>
    <w:p w14:paraId="0D5F67B6" w14:textId="77777777" w:rsidR="00230CE4" w:rsidRPr="005C3FCE" w:rsidRDefault="00230CE4" w:rsidP="00230CE4">
      <w:pPr>
        <w:pStyle w:val="ListParagraph"/>
      </w:pPr>
    </w:p>
    <w:p w14:paraId="43C5938B" w14:textId="22532834" w:rsidR="00230CE4" w:rsidRDefault="007E4F9D" w:rsidP="00230CE4">
      <w:pPr>
        <w:numPr>
          <w:ilvl w:val="1"/>
          <w:numId w:val="1"/>
        </w:numPr>
      </w:pPr>
      <w:r>
        <w:t>Audit</w:t>
      </w:r>
    </w:p>
    <w:p w14:paraId="5CA862B7" w14:textId="5F22885B" w:rsidR="00F72C50" w:rsidRDefault="00F72C50" w:rsidP="00F72C50">
      <w:pPr>
        <w:numPr>
          <w:ilvl w:val="2"/>
          <w:numId w:val="1"/>
        </w:numPr>
      </w:pPr>
      <w:r>
        <w:t>Commissioner Mattox met with MacReady, and Scott from the SAO</w:t>
      </w:r>
      <w:r w:rsidR="00982CA0">
        <w:t>,</w:t>
      </w:r>
      <w:r>
        <w:t xml:space="preserve"> and they will be requesting additional information. </w:t>
      </w:r>
    </w:p>
    <w:p w14:paraId="5467BF72" w14:textId="57AFC93F" w:rsidR="00F72C50" w:rsidRPr="005C3FCE" w:rsidRDefault="00F72C50" w:rsidP="00F72C50">
      <w:pPr>
        <w:numPr>
          <w:ilvl w:val="2"/>
          <w:numId w:val="1"/>
        </w:numPr>
      </w:pPr>
      <w:r>
        <w:t xml:space="preserve">Focus </w:t>
      </w:r>
      <w:r w:rsidR="00982CA0">
        <w:t>on</w:t>
      </w:r>
      <w:r>
        <w:t xml:space="preserve"> Bank accounts, credit cards. </w:t>
      </w:r>
    </w:p>
    <w:p w14:paraId="54A021BA" w14:textId="77777777" w:rsidR="00AA2D05" w:rsidRPr="005C3FCE" w:rsidRDefault="00AA2D05" w:rsidP="00AA2D05">
      <w:pPr>
        <w:pStyle w:val="ListParagraph"/>
      </w:pPr>
    </w:p>
    <w:p w14:paraId="1E3AB25E" w14:textId="77777777" w:rsidR="00AA2D05" w:rsidRPr="005C3FCE" w:rsidRDefault="00AA2D05" w:rsidP="00AA2D05">
      <w:pPr>
        <w:numPr>
          <w:ilvl w:val="0"/>
          <w:numId w:val="1"/>
        </w:numPr>
      </w:pPr>
      <w:r w:rsidRPr="005C3FCE">
        <w:t>New Business</w:t>
      </w:r>
    </w:p>
    <w:p w14:paraId="4CD972CD" w14:textId="2D597E88" w:rsidR="00AA2D05" w:rsidRDefault="000A7B6D" w:rsidP="000A7B6D">
      <w:pPr>
        <w:pStyle w:val="ListParagraph"/>
        <w:numPr>
          <w:ilvl w:val="1"/>
          <w:numId w:val="1"/>
        </w:numPr>
      </w:pPr>
      <w:r>
        <w:lastRenderedPageBreak/>
        <w:t>Truck purchase authorization</w:t>
      </w:r>
    </w:p>
    <w:p w14:paraId="41E0A481" w14:textId="76CBB916" w:rsidR="0016401F" w:rsidRDefault="0016401F" w:rsidP="0016401F">
      <w:pPr>
        <w:pStyle w:val="ListParagraph"/>
        <w:numPr>
          <w:ilvl w:val="2"/>
          <w:numId w:val="1"/>
        </w:numPr>
      </w:pPr>
      <w:r>
        <w:t xml:space="preserve">Use for </w:t>
      </w:r>
      <w:r w:rsidR="009649BD">
        <w:t xml:space="preserve">the </w:t>
      </w:r>
      <w:r>
        <w:t xml:space="preserve">new </w:t>
      </w:r>
      <w:r w:rsidR="009649BD">
        <w:t xml:space="preserve">water rescue </w:t>
      </w:r>
      <w:r>
        <w:t>boat</w:t>
      </w:r>
    </w:p>
    <w:p w14:paraId="72E973EE" w14:textId="21E30550" w:rsidR="0016401F" w:rsidRDefault="0016401F" w:rsidP="0016401F">
      <w:pPr>
        <w:pStyle w:val="ListParagraph"/>
        <w:numPr>
          <w:ilvl w:val="2"/>
          <w:numId w:val="1"/>
        </w:numPr>
      </w:pPr>
      <w:r>
        <w:t>Possible use for Centennial Trail</w:t>
      </w:r>
    </w:p>
    <w:p w14:paraId="279C7BA4" w14:textId="43013407" w:rsidR="00BF5F0C" w:rsidRDefault="00BF5F0C" w:rsidP="00C32EB9">
      <w:pPr>
        <w:pStyle w:val="ListParagraph"/>
        <w:numPr>
          <w:ilvl w:val="2"/>
          <w:numId w:val="1"/>
        </w:numPr>
      </w:pPr>
      <w:r>
        <w:t>Utility truck</w:t>
      </w:r>
    </w:p>
    <w:p w14:paraId="6B3907E2" w14:textId="46481FD1" w:rsidR="00700068" w:rsidRPr="00982CA0" w:rsidRDefault="00700068" w:rsidP="00700068">
      <w:pPr>
        <w:pStyle w:val="ListParagraph"/>
        <w:numPr>
          <w:ilvl w:val="3"/>
          <w:numId w:val="1"/>
        </w:numPr>
      </w:pPr>
      <w:r>
        <w:t>R</w:t>
      </w:r>
      <w:r w:rsidRPr="00982CA0">
        <w:t xml:space="preserve">esolution </w:t>
      </w:r>
      <w:r w:rsidR="00ED492F" w:rsidRPr="00982CA0">
        <w:t>2026-501</w:t>
      </w:r>
      <w:r w:rsidR="000A51EA" w:rsidRPr="00982CA0">
        <w:t xml:space="preserve"> </w:t>
      </w:r>
    </w:p>
    <w:p w14:paraId="16FB884D" w14:textId="6563156D" w:rsidR="00E35848" w:rsidRPr="00982CA0" w:rsidRDefault="00E35848" w:rsidP="00E35848">
      <w:pPr>
        <w:pStyle w:val="ListParagraph"/>
        <w:numPr>
          <w:ilvl w:val="4"/>
          <w:numId w:val="1"/>
        </w:numPr>
      </w:pPr>
      <w:r w:rsidRPr="00982CA0">
        <w:t>authorizing Chief McDonald to proceed with the purchase of a utility vehicle at a cost not to exceed $50,000.00.</w:t>
      </w:r>
    </w:p>
    <w:p w14:paraId="1F7A9144" w14:textId="67994594" w:rsidR="0016401F" w:rsidRPr="00982CA0" w:rsidRDefault="00E35848" w:rsidP="0016401F">
      <w:pPr>
        <w:pStyle w:val="ListParagraph"/>
        <w:numPr>
          <w:ilvl w:val="4"/>
          <w:numId w:val="1"/>
        </w:numPr>
      </w:pPr>
      <w:r w:rsidRPr="00982CA0">
        <w:t>Commissioner Mattox made a motion to approve resolution 2026-501</w:t>
      </w:r>
      <w:r w:rsidR="00CB2F58">
        <w:t>;</w:t>
      </w:r>
      <w:r w:rsidRPr="00982CA0">
        <w:t xml:space="preserve"> Commissioner Crabtree </w:t>
      </w:r>
      <w:r w:rsidR="00CB2F58">
        <w:t xml:space="preserve">seconded. </w:t>
      </w:r>
    </w:p>
    <w:p w14:paraId="7C6C3458" w14:textId="083D52C2" w:rsidR="00864EA2" w:rsidRDefault="00864EA2" w:rsidP="004B027F">
      <w:pPr>
        <w:pStyle w:val="ListParagraph"/>
        <w:numPr>
          <w:ilvl w:val="1"/>
          <w:numId w:val="1"/>
        </w:numPr>
      </w:pPr>
      <w:r>
        <w:t>New laptop</w:t>
      </w:r>
      <w:r w:rsidR="004B027F">
        <w:t xml:space="preserve"> for the district</w:t>
      </w:r>
    </w:p>
    <w:p w14:paraId="0752B22B" w14:textId="2CD08DBA" w:rsidR="004B027F" w:rsidRDefault="004B027F" w:rsidP="004B027F">
      <w:pPr>
        <w:pStyle w:val="ListParagraph"/>
        <w:numPr>
          <w:ilvl w:val="2"/>
          <w:numId w:val="1"/>
        </w:numPr>
      </w:pPr>
      <w:r>
        <w:t xml:space="preserve">Commissioner Mattox made a motion to approve up </w:t>
      </w:r>
      <w:r w:rsidR="00B76FFA">
        <w:t>to $1500.00</w:t>
      </w:r>
      <w:r>
        <w:t xml:space="preserve"> for a new laptop</w:t>
      </w:r>
      <w:r w:rsidR="00B76FFA">
        <w:t>;</w:t>
      </w:r>
      <w:r>
        <w:t xml:space="preserve"> Commissioner Martin seconded. Motion passed unanimously. </w:t>
      </w:r>
    </w:p>
    <w:p w14:paraId="58317A61" w14:textId="66888D67" w:rsidR="00123606" w:rsidRPr="005C3FCE" w:rsidRDefault="00123606" w:rsidP="004B027F">
      <w:pPr>
        <w:pStyle w:val="ListParagraph"/>
        <w:numPr>
          <w:ilvl w:val="2"/>
          <w:numId w:val="1"/>
        </w:numPr>
      </w:pPr>
      <w:r>
        <w:t>Commissioner Mattox recommended looking at Best Buy</w:t>
      </w:r>
      <w:r w:rsidR="00B76FFA">
        <w:t>,</w:t>
      </w:r>
      <w:r>
        <w:t xml:space="preserve"> as they will transfer our data from the old laptop to the new one. Secretary Olson will look at Dell Laptops from Best Buy. </w:t>
      </w:r>
    </w:p>
    <w:p w14:paraId="14888698" w14:textId="77777777" w:rsidR="00AA2D05" w:rsidRPr="005C3FCE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5C3FCE">
        <w:t>Chief’s Report</w:t>
      </w:r>
      <w:r w:rsidR="00547413" w:rsidRPr="005C3FCE">
        <w:t>-</w:t>
      </w:r>
    </w:p>
    <w:p w14:paraId="453B1F62" w14:textId="0F095FAA" w:rsidR="000853E0" w:rsidRPr="005C3FCE" w:rsidRDefault="00F72C50" w:rsidP="009649BD">
      <w:pPr>
        <w:numPr>
          <w:ilvl w:val="1"/>
          <w:numId w:val="1"/>
        </w:numPr>
      </w:pPr>
      <w:r>
        <w:t>Banquet is 3/7/2026</w:t>
      </w:r>
      <w:r w:rsidR="00D56AA0">
        <w:t>,</w:t>
      </w:r>
      <w:r w:rsidR="00816F96">
        <w:t xml:space="preserve"> invite the commissioners. </w:t>
      </w:r>
    </w:p>
    <w:p w14:paraId="5225BA31" w14:textId="77777777" w:rsidR="008D1B4D" w:rsidRPr="005C3FCE" w:rsidRDefault="008D1B4D" w:rsidP="008D1B4D">
      <w:pPr>
        <w:ind w:left="720"/>
      </w:pPr>
    </w:p>
    <w:p w14:paraId="44D9B357" w14:textId="6D43406C" w:rsidR="004F7C61" w:rsidRPr="005C3FCE" w:rsidRDefault="008D1B4D" w:rsidP="008D1B4D">
      <w:pPr>
        <w:numPr>
          <w:ilvl w:val="0"/>
          <w:numId w:val="1"/>
        </w:numPr>
      </w:pPr>
      <w:r w:rsidRPr="005C3FCE">
        <w:t xml:space="preserve">Assistant Chief’s </w:t>
      </w:r>
      <w:r w:rsidRPr="00816F96">
        <w:t>report</w:t>
      </w:r>
      <w:r w:rsidR="00816F96">
        <w:t>-</w:t>
      </w:r>
      <w:r w:rsidR="00816F96" w:rsidRPr="00816F96">
        <w:t>N/A</w:t>
      </w:r>
    </w:p>
    <w:p w14:paraId="6EC1E592" w14:textId="77777777" w:rsidR="004F7C61" w:rsidRPr="00816F96" w:rsidRDefault="004F7C61" w:rsidP="00816F96">
      <w:pPr>
        <w:rPr>
          <w:u w:val="single"/>
        </w:rPr>
      </w:pPr>
    </w:p>
    <w:p w14:paraId="325517FA" w14:textId="087B3BDB" w:rsidR="004C102E" w:rsidRPr="005C3FCE" w:rsidRDefault="004F7C61" w:rsidP="008D1B4D">
      <w:pPr>
        <w:numPr>
          <w:ilvl w:val="0"/>
          <w:numId w:val="1"/>
        </w:numPr>
      </w:pPr>
      <w:r w:rsidRPr="005C3FCE">
        <w:t>Training Officer report-</w:t>
      </w:r>
      <w:r w:rsidR="004C102E" w:rsidRPr="005C3FCE">
        <w:t xml:space="preserve"> </w:t>
      </w:r>
      <w:r w:rsidR="00816F96">
        <w:t>N/A</w:t>
      </w:r>
      <w:r w:rsidR="004C102E" w:rsidRPr="005C3FCE">
        <w:t xml:space="preserve">                                                                                       </w:t>
      </w:r>
    </w:p>
    <w:p w14:paraId="05859197" w14:textId="77777777" w:rsidR="004C102E" w:rsidRPr="005C3FCE" w:rsidRDefault="004C102E" w:rsidP="004C102E">
      <w:pPr>
        <w:tabs>
          <w:tab w:val="num" w:pos="720"/>
        </w:tabs>
      </w:pPr>
    </w:p>
    <w:p w14:paraId="4C73976A" w14:textId="77777777" w:rsidR="004C102E" w:rsidRPr="005C3FCE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 w:rsidRPr="005C3FCE">
        <w:t xml:space="preserve">Accounts Payable &amp; Financial Report </w:t>
      </w:r>
    </w:p>
    <w:p w14:paraId="2891A324" w14:textId="3EF2E1BD" w:rsidR="00213250" w:rsidRDefault="00213250" w:rsidP="00213250">
      <w:pPr>
        <w:numPr>
          <w:ilvl w:val="1"/>
          <w:numId w:val="1"/>
        </w:numPr>
      </w:pPr>
      <w:r>
        <w:t>Commissioner Mattox made a motion to approve and pay the bills. Commissioner Martin seconded. Motion passed unanimously.</w:t>
      </w:r>
    </w:p>
    <w:p w14:paraId="2CF97A44" w14:textId="77777777" w:rsidR="000853E0" w:rsidRDefault="000853E0" w:rsidP="000853E0"/>
    <w:tbl>
      <w:tblPr>
        <w:tblW w:w="5420" w:type="dxa"/>
        <w:tblInd w:w="57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3198"/>
        <w:gridCol w:w="222"/>
      </w:tblGrid>
      <w:tr w:rsidR="00213250" w14:paraId="55AC67CE" w14:textId="77777777" w:rsidTr="00213250">
        <w:trPr>
          <w:gridAfter w:val="1"/>
          <w:wAfter w:w="222" w:type="dxa"/>
          <w:trHeight w:val="458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4131B23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#5213-5216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C04F80A" w14:textId="77777777" w:rsidR="00213250" w:rsidRDefault="002132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$4,807.70 </w:t>
            </w:r>
          </w:p>
        </w:tc>
      </w:tr>
      <w:tr w:rsidR="00213250" w14:paraId="60581AE2" w14:textId="77777777" w:rsidTr="00213250">
        <w:trPr>
          <w:trHeight w:val="36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73150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9DFB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90CE" w14:textId="77777777" w:rsidR="00213250" w:rsidRDefault="002132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13250" w14:paraId="227D6D9B" w14:textId="77777777" w:rsidTr="00213250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F0C2718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449924" w14:textId="77777777" w:rsidR="00213250" w:rsidRDefault="002132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trike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B3B040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5D497907" w14:textId="77777777" w:rsidTr="00213250">
        <w:trPr>
          <w:trHeight w:val="57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0E299D1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#5217-5229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033BDD8" w14:textId="77777777" w:rsidR="00213250" w:rsidRDefault="002132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$25,402.41 </w:t>
            </w:r>
          </w:p>
        </w:tc>
        <w:tc>
          <w:tcPr>
            <w:tcW w:w="222" w:type="dxa"/>
            <w:vAlign w:val="center"/>
            <w:hideMark/>
          </w:tcPr>
          <w:p w14:paraId="6C06D5EB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29C375C5" w14:textId="77777777" w:rsidTr="00213250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B4E7AB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5287B10" w14:textId="77777777" w:rsidR="00213250" w:rsidRDefault="002132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$1,268.51 </w:t>
            </w:r>
          </w:p>
        </w:tc>
        <w:tc>
          <w:tcPr>
            <w:tcW w:w="222" w:type="dxa"/>
            <w:vAlign w:val="center"/>
            <w:hideMark/>
          </w:tcPr>
          <w:p w14:paraId="3D05FCE3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0F8431D6" w14:textId="77777777" w:rsidTr="00213250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A89D038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405E364" w14:textId="77777777" w:rsidR="00213250" w:rsidRDefault="002132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$31,478.62 </w:t>
            </w:r>
          </w:p>
        </w:tc>
        <w:tc>
          <w:tcPr>
            <w:tcW w:w="222" w:type="dxa"/>
            <w:vAlign w:val="center"/>
            <w:hideMark/>
          </w:tcPr>
          <w:p w14:paraId="10F12E26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0A45C6A0" w14:textId="77777777" w:rsidTr="00213250">
        <w:trPr>
          <w:trHeight w:val="29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78A3E6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Tami Mattox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34A17E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624510B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0707B53A" w14:textId="77777777" w:rsidTr="00213250">
        <w:trPr>
          <w:trHeight w:val="29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A15F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8AA9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445E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</w:tr>
      <w:tr w:rsidR="00213250" w14:paraId="1B2D7A1F" w14:textId="77777777" w:rsidTr="00213250">
        <w:trPr>
          <w:trHeight w:val="29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C014D6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James Martin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CEC3A5F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D88262D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58EE2451" w14:textId="77777777" w:rsidTr="00213250">
        <w:trPr>
          <w:trHeight w:val="29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AEC9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1F58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7A5E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</w:tr>
      <w:tr w:rsidR="00213250" w14:paraId="4CB7D320" w14:textId="77777777" w:rsidTr="00213250">
        <w:trPr>
          <w:trHeight w:val="29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2F40BCC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Brian Crabtree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7558D1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BDD1D3F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47D14499" w14:textId="77777777" w:rsidTr="00213250">
        <w:trPr>
          <w:trHeight w:val="29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5947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CCCC9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2C9D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</w:tr>
      <w:tr w:rsidR="00213250" w14:paraId="270EAE05" w14:textId="77777777" w:rsidTr="00213250">
        <w:trPr>
          <w:trHeight w:val="29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24178F3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Kathryn Olson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4C9D42C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DDD8A48" w14:textId="77777777" w:rsidR="00213250" w:rsidRDefault="00213250">
            <w:pPr>
              <w:rPr>
                <w:sz w:val="20"/>
                <w:szCs w:val="20"/>
              </w:rPr>
            </w:pPr>
          </w:p>
        </w:tc>
      </w:tr>
      <w:tr w:rsidR="00213250" w14:paraId="536336AC" w14:textId="77777777" w:rsidTr="00213250">
        <w:trPr>
          <w:trHeight w:val="29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C2B1" w14:textId="77777777" w:rsidR="00213250" w:rsidRDefault="002132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E814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10C6" w14:textId="77777777" w:rsidR="00213250" w:rsidRDefault="0021325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0B22F65" w14:textId="77777777" w:rsidR="004C102E" w:rsidRPr="005C3FCE" w:rsidRDefault="004C102E" w:rsidP="00A8211A"/>
    <w:p w14:paraId="7ED132F8" w14:textId="77777777" w:rsidR="004C102E" w:rsidRPr="005C3FCE" w:rsidRDefault="004C102E" w:rsidP="004C102E">
      <w:pPr>
        <w:pStyle w:val="ListParagraph"/>
        <w:numPr>
          <w:ilvl w:val="0"/>
          <w:numId w:val="1"/>
        </w:numPr>
      </w:pPr>
      <w:r w:rsidRPr="005C3FCE">
        <w:t xml:space="preserve">Adjournment </w:t>
      </w:r>
    </w:p>
    <w:p w14:paraId="3A9D48E8" w14:textId="77777777" w:rsidR="004C102E" w:rsidRPr="005C3FCE" w:rsidRDefault="004C102E" w:rsidP="004C102E">
      <w:pPr>
        <w:ind w:left="-80"/>
      </w:pPr>
    </w:p>
    <w:p w14:paraId="5C77A439" w14:textId="77777777" w:rsidR="001038CA" w:rsidRDefault="004C102E" w:rsidP="004C102E">
      <w:pPr>
        <w:ind w:left="-80"/>
      </w:pPr>
      <w:r w:rsidRPr="005C3FCE">
        <w:t xml:space="preserve">Next Business Meeting: </w:t>
      </w:r>
    </w:p>
    <w:p w14:paraId="16D593B2" w14:textId="77777777" w:rsidR="00FB3CC1" w:rsidRDefault="00FB3CC1" w:rsidP="004C102E">
      <w:pPr>
        <w:ind w:left="-80"/>
      </w:pPr>
    </w:p>
    <w:p w14:paraId="3F02CD04" w14:textId="1A1B5300" w:rsidR="004C102E" w:rsidRDefault="001038CA" w:rsidP="001038CA">
      <w:pPr>
        <w:pStyle w:val="ListParagraph"/>
        <w:numPr>
          <w:ilvl w:val="0"/>
          <w:numId w:val="3"/>
        </w:numPr>
      </w:pPr>
      <w:r>
        <w:t>4/</w:t>
      </w:r>
      <w:r w:rsidR="002B51E6">
        <w:t>2</w:t>
      </w:r>
      <w:r>
        <w:t>/</w:t>
      </w:r>
      <w:r w:rsidR="004C102E" w:rsidRPr="005C3FCE">
        <w:t>20</w:t>
      </w:r>
      <w:r w:rsidR="00FA014D" w:rsidRPr="005C3FCE">
        <w:t>2</w:t>
      </w:r>
      <w:r>
        <w:t>6</w:t>
      </w:r>
      <w:r w:rsidR="004C102E" w:rsidRPr="005C3FCE">
        <w:t xml:space="preserve"> </w:t>
      </w:r>
      <w:r w:rsidR="00A8211A">
        <w:t xml:space="preserve">Business Meeting </w:t>
      </w:r>
      <w:r w:rsidR="004C102E" w:rsidRPr="005C3FCE">
        <w:t xml:space="preserve">at </w:t>
      </w:r>
      <w:r w:rsidR="00FA014D" w:rsidRPr="005C3FCE">
        <w:t>7</w:t>
      </w:r>
      <w:r w:rsidR="004C102E" w:rsidRPr="005C3FCE">
        <w:t xml:space="preserve">:00 </w:t>
      </w:r>
      <w:r w:rsidR="00A8211A">
        <w:t>pm</w:t>
      </w:r>
    </w:p>
    <w:p w14:paraId="62C55E78" w14:textId="05190E4C" w:rsidR="001038CA" w:rsidRDefault="001038CA" w:rsidP="001038CA">
      <w:pPr>
        <w:pStyle w:val="ListParagraph"/>
        <w:numPr>
          <w:ilvl w:val="0"/>
          <w:numId w:val="3"/>
        </w:numPr>
      </w:pPr>
      <w:r>
        <w:t>4/16/2026</w:t>
      </w:r>
      <w:r w:rsidR="00FB3CC1">
        <w:t>-Levy Planning Meeting</w:t>
      </w:r>
      <w:r w:rsidR="00A8211A">
        <w:t xml:space="preserve"> at 7:00 pm </w:t>
      </w:r>
    </w:p>
    <w:p w14:paraId="7C7B2016" w14:textId="77777777" w:rsidR="001038CA" w:rsidRPr="005C3FCE" w:rsidRDefault="001038CA" w:rsidP="004C102E">
      <w:pPr>
        <w:ind w:left="-80"/>
      </w:pPr>
    </w:p>
    <w:p w14:paraId="697FD909" w14:textId="77777777" w:rsidR="004C102E" w:rsidRPr="005C3FCE" w:rsidRDefault="004C102E" w:rsidP="004C102E"/>
    <w:p w14:paraId="68B60C27" w14:textId="77777777" w:rsidR="004C102E" w:rsidRPr="005C3FCE" w:rsidRDefault="004C102E" w:rsidP="004C102E"/>
    <w:bookmarkEnd w:id="2"/>
    <w:p w14:paraId="587BFFB5" w14:textId="77777777" w:rsidR="0018784F" w:rsidRPr="005C3FCE" w:rsidRDefault="0018784F"/>
    <w:sectPr w:rsidR="0018784F" w:rsidRPr="005C3F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D448" w14:textId="77777777" w:rsidR="00376CF6" w:rsidRDefault="00376CF6" w:rsidP="00763ACB">
      <w:r>
        <w:separator/>
      </w:r>
    </w:p>
  </w:endnote>
  <w:endnote w:type="continuationSeparator" w:id="0">
    <w:p w14:paraId="70184461" w14:textId="77777777" w:rsidR="00376CF6" w:rsidRDefault="00376CF6" w:rsidP="0076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8E6C" w14:textId="77777777" w:rsidR="00376CF6" w:rsidRDefault="00376CF6" w:rsidP="00763ACB">
      <w:r>
        <w:separator/>
      </w:r>
    </w:p>
  </w:footnote>
  <w:footnote w:type="continuationSeparator" w:id="0">
    <w:p w14:paraId="305155C8" w14:textId="77777777" w:rsidR="00376CF6" w:rsidRDefault="00376CF6" w:rsidP="0076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9AAA" w14:textId="0DFAB1FC" w:rsidR="00763ACB" w:rsidRPr="00763ACB" w:rsidRDefault="00CB2F58">
    <w:pPr>
      <w:pStyle w:val="Header"/>
      <w:rPr>
        <w:color w:val="EE0000"/>
      </w:rPr>
    </w:pPr>
    <w:r>
      <w:rPr>
        <w:color w:val="EE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81FD0"/>
    <w:multiLevelType w:val="hybridMultilevel"/>
    <w:tmpl w:val="6E44AF7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7925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853E0"/>
    <w:rsid w:val="000964E8"/>
    <w:rsid w:val="000A405E"/>
    <w:rsid w:val="000A51EA"/>
    <w:rsid w:val="000A7B6D"/>
    <w:rsid w:val="000D359E"/>
    <w:rsid w:val="001038CA"/>
    <w:rsid w:val="00123606"/>
    <w:rsid w:val="0016401F"/>
    <w:rsid w:val="0017516D"/>
    <w:rsid w:val="0018784F"/>
    <w:rsid w:val="0019470A"/>
    <w:rsid w:val="001A55AB"/>
    <w:rsid w:val="00213250"/>
    <w:rsid w:val="002208B1"/>
    <w:rsid w:val="00230CE4"/>
    <w:rsid w:val="00241E77"/>
    <w:rsid w:val="00261EA8"/>
    <w:rsid w:val="002A3E1D"/>
    <w:rsid w:val="002B51E6"/>
    <w:rsid w:val="00301D6F"/>
    <w:rsid w:val="0033405D"/>
    <w:rsid w:val="00376CF6"/>
    <w:rsid w:val="003B2577"/>
    <w:rsid w:val="003D425E"/>
    <w:rsid w:val="00460F83"/>
    <w:rsid w:val="00474ADE"/>
    <w:rsid w:val="004B027F"/>
    <w:rsid w:val="004C102E"/>
    <w:rsid w:val="004F7C61"/>
    <w:rsid w:val="00547413"/>
    <w:rsid w:val="0055340B"/>
    <w:rsid w:val="005C3FCE"/>
    <w:rsid w:val="005F18C8"/>
    <w:rsid w:val="005F2833"/>
    <w:rsid w:val="00667D35"/>
    <w:rsid w:val="006B097F"/>
    <w:rsid w:val="00700068"/>
    <w:rsid w:val="00763ACB"/>
    <w:rsid w:val="007A343C"/>
    <w:rsid w:val="007B3715"/>
    <w:rsid w:val="007E4F9D"/>
    <w:rsid w:val="00815962"/>
    <w:rsid w:val="00816F96"/>
    <w:rsid w:val="00864EA2"/>
    <w:rsid w:val="008D1B4D"/>
    <w:rsid w:val="00944886"/>
    <w:rsid w:val="00954C24"/>
    <w:rsid w:val="00963604"/>
    <w:rsid w:val="009649BD"/>
    <w:rsid w:val="009760FB"/>
    <w:rsid w:val="00982CA0"/>
    <w:rsid w:val="009B6E3A"/>
    <w:rsid w:val="009D001C"/>
    <w:rsid w:val="009E1836"/>
    <w:rsid w:val="00A22B36"/>
    <w:rsid w:val="00A355ED"/>
    <w:rsid w:val="00A701D8"/>
    <w:rsid w:val="00A8211A"/>
    <w:rsid w:val="00AA2D05"/>
    <w:rsid w:val="00B556CC"/>
    <w:rsid w:val="00B76FFA"/>
    <w:rsid w:val="00B879FA"/>
    <w:rsid w:val="00BA4076"/>
    <w:rsid w:val="00BC0639"/>
    <w:rsid w:val="00BF5F0C"/>
    <w:rsid w:val="00C2246C"/>
    <w:rsid w:val="00C32EB9"/>
    <w:rsid w:val="00CB2F58"/>
    <w:rsid w:val="00D44CBB"/>
    <w:rsid w:val="00D546EE"/>
    <w:rsid w:val="00D56AA0"/>
    <w:rsid w:val="00DB6953"/>
    <w:rsid w:val="00DD3E4F"/>
    <w:rsid w:val="00E35848"/>
    <w:rsid w:val="00E4192B"/>
    <w:rsid w:val="00E4289E"/>
    <w:rsid w:val="00EB3B9E"/>
    <w:rsid w:val="00ED492F"/>
    <w:rsid w:val="00F32CE8"/>
    <w:rsid w:val="00F4273B"/>
    <w:rsid w:val="00F72C50"/>
    <w:rsid w:val="00F75512"/>
    <w:rsid w:val="00FA014D"/>
    <w:rsid w:val="00FB3CC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3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61</cp:revision>
  <cp:lastPrinted>2026-04-02T22:42:00Z</cp:lastPrinted>
  <dcterms:created xsi:type="dcterms:W3CDTF">2026-03-05T17:42:00Z</dcterms:created>
  <dcterms:modified xsi:type="dcterms:W3CDTF">2026-04-03T02:07:00Z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