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0042BE" w:rsidRPr="000042BE" w:rsidRDefault="00F506BD" w:rsidP="00D32D22">
      <w:pPr>
        <w:jc w:val="both"/>
        <w:rPr>
          <w:sz w:val="20"/>
          <w:szCs w:val="20"/>
        </w:rPr>
      </w:pPr>
      <w:r w:rsidRPr="001C231B">
        <w:rPr>
          <w:sz w:val="20"/>
          <w:szCs w:val="20"/>
        </w:rPr>
        <w:t xml:space="preserve">This month we would like to introduce you to one of Nevada’s state listed noxious weeds, </w:t>
      </w:r>
      <w:r w:rsidR="00D32D22">
        <w:rPr>
          <w:sz w:val="20"/>
          <w:szCs w:val="20"/>
        </w:rPr>
        <w:t>black henbane (</w:t>
      </w:r>
      <w:proofErr w:type="spellStart"/>
      <w:r w:rsidR="00D32D22" w:rsidRPr="00D32D22">
        <w:rPr>
          <w:i/>
          <w:sz w:val="20"/>
          <w:szCs w:val="20"/>
        </w:rPr>
        <w:t>Hyoscyamus</w:t>
      </w:r>
      <w:proofErr w:type="spellEnd"/>
      <w:r w:rsidR="00D32D22" w:rsidRPr="00D32D22">
        <w:rPr>
          <w:i/>
          <w:sz w:val="20"/>
          <w:szCs w:val="20"/>
        </w:rPr>
        <w:t xml:space="preserve"> </w:t>
      </w:r>
      <w:proofErr w:type="spellStart"/>
      <w:proofErr w:type="gramStart"/>
      <w:r w:rsidR="00D32D22" w:rsidRPr="00D32D22">
        <w:rPr>
          <w:i/>
          <w:sz w:val="20"/>
          <w:szCs w:val="20"/>
        </w:rPr>
        <w:t>niger</w:t>
      </w:r>
      <w:proofErr w:type="spellEnd"/>
      <w:proofErr w:type="gramEnd"/>
      <w:r w:rsidR="00D32D22">
        <w:rPr>
          <w:sz w:val="20"/>
          <w:szCs w:val="20"/>
        </w:rPr>
        <w:t xml:space="preserve">).  </w:t>
      </w:r>
      <w:r w:rsidR="00D32D22" w:rsidRPr="00D32D22">
        <w:rPr>
          <w:sz w:val="20"/>
          <w:szCs w:val="20"/>
        </w:rPr>
        <w:t>Black Henbane is a native of Europe and has been cultivated as an ornamental. It has spread throughout the United States and is a common weed of pastures, fence r</w:t>
      </w:r>
      <w:r w:rsidR="00D32D22">
        <w:rPr>
          <w:sz w:val="20"/>
          <w:szCs w:val="20"/>
        </w:rPr>
        <w:t xml:space="preserve">ows, roadsides, and waste areas; known to occur in Elko, Eureka, Humboldt, Lander, Lincoln, Lyon and White Pine counties in Nevada. </w:t>
      </w:r>
      <w:r w:rsidR="00D32D22" w:rsidRPr="00D32D22">
        <w:rPr>
          <w:sz w:val="20"/>
          <w:szCs w:val="20"/>
        </w:rPr>
        <w:t xml:space="preserve"> Black Henbane contains </w:t>
      </w:r>
      <w:proofErr w:type="spellStart"/>
      <w:r w:rsidR="00D32D22" w:rsidRPr="00D32D22">
        <w:rPr>
          <w:sz w:val="20"/>
          <w:szCs w:val="20"/>
        </w:rPr>
        <w:t>hyoscyamine</w:t>
      </w:r>
      <w:proofErr w:type="spellEnd"/>
      <w:r w:rsidR="00D32D22" w:rsidRPr="00D32D22">
        <w:rPr>
          <w:sz w:val="20"/>
          <w:szCs w:val="20"/>
        </w:rPr>
        <w:t xml:space="preserve"> and other alkaloids which can cause livestock poisoning. It is considered a poisonous plant to humans.</w:t>
      </w:r>
    </w:p>
    <w:p w:rsidR="005A2B25" w:rsidRDefault="00E16BA3" w:rsidP="00E16BA3">
      <w:pPr>
        <w:jc w:val="both"/>
        <w:rPr>
          <w:sz w:val="20"/>
          <w:szCs w:val="20"/>
        </w:rPr>
      </w:pPr>
      <w:r w:rsidRPr="00E16BA3">
        <w:rPr>
          <w:sz w:val="20"/>
          <w:szCs w:val="20"/>
        </w:rPr>
        <w:t>Black henbane is an annual or biennial of the nightshade family (</w:t>
      </w:r>
      <w:proofErr w:type="spellStart"/>
      <w:r w:rsidRPr="00E16BA3">
        <w:rPr>
          <w:sz w:val="20"/>
          <w:szCs w:val="20"/>
        </w:rPr>
        <w:t>Solanaceae</w:t>
      </w:r>
      <w:proofErr w:type="spellEnd"/>
      <w:r w:rsidRPr="00E16BA3">
        <w:rPr>
          <w:sz w:val="20"/>
          <w:szCs w:val="20"/>
        </w:rPr>
        <w:t>) that reproduces solely through seed production. Seeds germinate and develop into a rosette in late May. Rosette leaves are soft, alternate and have leaf stalks nearly as long as the leaf</w:t>
      </w:r>
      <w:r>
        <w:rPr>
          <w:sz w:val="20"/>
          <w:szCs w:val="20"/>
        </w:rPr>
        <w:t xml:space="preserve"> </w:t>
      </w:r>
      <w:r w:rsidRPr="00E16BA3">
        <w:rPr>
          <w:sz w:val="20"/>
          <w:szCs w:val="20"/>
        </w:rPr>
        <w:t>blades. Black henbane has a large, whitish, branched, fleshy taproot. The plant grows 1 to 6 feet tall. Stems of a mature plant are erect, leafy, thick, coarse, hairy and widely branched. Leaves are large – up to 6 inches wide and 8 or more inches long. Leaves are alternate with coarsely toothed to shallowly lobed margins, and are grayish-green in color. Foliage is covered with fine, sticky hairs. It flowers from June to September, with peak flowering usually in July. The 5-lobed, funnel-shaped flowers are brownish-yellow in appearance with dark purple veins. Flowers are arranged in a long spike-like inflorescence in the upper leaves with the youngest flower at the tip. Two rows of 1 inch long, five-lobed, pineapple-shaped fruits appear after flowering. Each fruit capsule contains black, pitted seeds. Black henbane produces 10,000 to 500,000 seeds per plant. Black henbane has an unpleasant odor at all growth stages, especially when it is crushed.</w:t>
      </w:r>
    </w:p>
    <w:p w:rsidR="00851AE6" w:rsidRPr="00851AE6" w:rsidRDefault="00851AE6" w:rsidP="00851AE6">
      <w:pPr>
        <w:jc w:val="both"/>
        <w:rPr>
          <w:sz w:val="20"/>
          <w:szCs w:val="20"/>
        </w:rPr>
      </w:pPr>
      <w:r w:rsidRPr="00851AE6">
        <w:rPr>
          <w:b/>
          <w:bCs/>
          <w:sz w:val="20"/>
          <w:szCs w:val="20"/>
        </w:rPr>
        <w:t>Integrated Management</w:t>
      </w:r>
    </w:p>
    <w:p w:rsidR="005A2B25" w:rsidRDefault="00851AE6" w:rsidP="00851AE6">
      <w:pPr>
        <w:jc w:val="both"/>
        <w:rPr>
          <w:sz w:val="20"/>
          <w:szCs w:val="20"/>
        </w:rPr>
      </w:pPr>
      <w:r w:rsidRPr="00851AE6">
        <w:rPr>
          <w:sz w:val="20"/>
          <w:szCs w:val="20"/>
        </w:rPr>
        <w:t>Management objectives for black henbane control should involve preventing seed production and periodically monitoring populations. Field observations suggest the seeds of black henbane can remain viable in the soil for a period of five years; therefore, particular attention is required for several consecutive growing seasons to control newly emerging plants. Good vegetative cover of desired plants considerably reduces the chance of black henbane infestation.</w:t>
      </w:r>
    </w:p>
    <w:p w:rsidR="005A2B25" w:rsidRPr="005A2B25" w:rsidRDefault="005A2B25" w:rsidP="005A2B25">
      <w:pPr>
        <w:jc w:val="both"/>
        <w:rPr>
          <w:b/>
          <w:bCs/>
          <w:sz w:val="20"/>
          <w:szCs w:val="20"/>
        </w:rPr>
      </w:pPr>
      <w:r w:rsidRPr="005A2B25">
        <w:rPr>
          <w:b/>
          <w:bCs/>
          <w:sz w:val="20"/>
          <w:szCs w:val="20"/>
        </w:rPr>
        <w:t>Mechanical Control</w:t>
      </w:r>
    </w:p>
    <w:p w:rsidR="005A2B25" w:rsidRPr="005A2B25" w:rsidRDefault="005A2B25" w:rsidP="005A2B25">
      <w:pPr>
        <w:jc w:val="both"/>
        <w:rPr>
          <w:sz w:val="20"/>
          <w:szCs w:val="20"/>
        </w:rPr>
      </w:pPr>
      <w:r w:rsidRPr="005A2B25">
        <w:rPr>
          <w:sz w:val="20"/>
          <w:szCs w:val="20"/>
        </w:rPr>
        <w:t>Hand-pulling or digging can be effective if the taproot is entirely removed. In order to prevent seed dispersal, plants with mature fruits should be put in bags after removal. The area must be monitored for new seedlings for at least four years. Mechanical control methods are only effective for small infestations. Wear gloves and protective clothing when handling the plants to prevent rashes.</w:t>
      </w:r>
    </w:p>
    <w:p w:rsidR="00851AE6" w:rsidRDefault="00851AE6" w:rsidP="00163DBB">
      <w:pPr>
        <w:jc w:val="both"/>
        <w:rPr>
          <w:b/>
          <w:bCs/>
          <w:sz w:val="20"/>
          <w:szCs w:val="20"/>
        </w:rPr>
      </w:pPr>
      <w:r w:rsidRPr="00851AE6">
        <w:rPr>
          <w:b/>
          <w:bCs/>
          <w:sz w:val="20"/>
          <w:szCs w:val="20"/>
        </w:rPr>
        <w:t xml:space="preserve">Grazing </w:t>
      </w:r>
    </w:p>
    <w:p w:rsidR="005A2B25" w:rsidRPr="00851AE6" w:rsidRDefault="00851AE6" w:rsidP="00163DBB">
      <w:pPr>
        <w:jc w:val="both"/>
        <w:rPr>
          <w:sz w:val="20"/>
          <w:szCs w:val="20"/>
        </w:rPr>
      </w:pPr>
      <w:r w:rsidRPr="00851AE6">
        <w:rPr>
          <w:bCs/>
          <w:sz w:val="20"/>
          <w:szCs w:val="20"/>
        </w:rPr>
        <w:t>Grazing to control black henbane is not an option because it is poisonous to livestock, poultry and swine. Fortunately, because of the foul odor of the plant, livestock seldom graze black henbane, and few cases of livestock poisonings have been reported. However, dried plant matter in baled forage retains its toxic properties and will be readily consumed.</w:t>
      </w:r>
    </w:p>
    <w:p w:rsidR="00851AE6" w:rsidRDefault="00851AE6" w:rsidP="00163DBB">
      <w:pPr>
        <w:jc w:val="both"/>
        <w:rPr>
          <w:sz w:val="20"/>
          <w:szCs w:val="20"/>
        </w:rPr>
      </w:pPr>
    </w:p>
    <w:p w:rsidR="00851AE6" w:rsidRPr="00FE50D8" w:rsidRDefault="00851AE6" w:rsidP="00851AE6">
      <w:pPr>
        <w:jc w:val="both"/>
        <w:rPr>
          <w:sz w:val="20"/>
          <w:szCs w:val="20"/>
        </w:rPr>
      </w:pPr>
      <w:r w:rsidRPr="00FE50D8">
        <w:rPr>
          <w:b/>
          <w:bCs/>
          <w:iCs/>
          <w:sz w:val="20"/>
          <w:szCs w:val="20"/>
        </w:rPr>
        <w:lastRenderedPageBreak/>
        <w:t>Chemical</w:t>
      </w:r>
    </w:p>
    <w:p w:rsidR="00851AE6" w:rsidRDefault="00851AE6" w:rsidP="00851AE6">
      <w:pPr>
        <w:jc w:val="both"/>
        <w:rPr>
          <w:sz w:val="20"/>
          <w:szCs w:val="20"/>
        </w:rPr>
      </w:pPr>
      <w:r w:rsidRPr="00851AE6">
        <w:rPr>
          <w:sz w:val="20"/>
          <w:szCs w:val="20"/>
        </w:rPr>
        <w:t>Several herbicides are listed as providing control of black henbane</w:t>
      </w:r>
      <w:bookmarkStart w:id="0" w:name="_GoBack"/>
      <w:bookmarkEnd w:id="0"/>
      <w:r w:rsidRPr="00851AE6">
        <w:rPr>
          <w:sz w:val="20"/>
          <w:szCs w:val="20"/>
        </w:rPr>
        <w:t>. Herbicide recommendations vary by region and site. Read and follow the herbicide label to determine whether the herbicide applies to your situation, what rates are appropriate, and ensure all safety recommendations are followed. Herbicides should be applied with a non-ionic surfactant at the rosette stage and prior to flowering to prevent seed production. The area should be monitored after application and any escapes or regrowth should be retreated.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624"/>
        <w:gridCol w:w="2624"/>
        <w:gridCol w:w="2624"/>
      </w:tblGrid>
      <w:tr w:rsidR="00851AE6" w:rsidRPr="00851AE6">
        <w:tblPrEx>
          <w:tblCellMar>
            <w:top w:w="0" w:type="dxa"/>
            <w:bottom w:w="0" w:type="dxa"/>
          </w:tblCellMar>
        </w:tblPrEx>
        <w:trPr>
          <w:trHeight w:val="222"/>
        </w:trPr>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Obl" w:hAnsi="ITC Franklin Gothic BookObl" w:cs="ITC Franklin Gothic BookObl"/>
                <w:color w:val="000000"/>
                <w:sz w:val="18"/>
                <w:szCs w:val="18"/>
              </w:rPr>
            </w:pPr>
            <w:r w:rsidRPr="00851AE6">
              <w:rPr>
                <w:rFonts w:ascii="ITC Franklin Gothic BookObl" w:hAnsi="ITC Franklin Gothic BookObl" w:cs="ITC Franklin Gothic BookObl"/>
                <w:b/>
                <w:bCs/>
                <w:i/>
                <w:iCs/>
                <w:color w:val="000000"/>
                <w:sz w:val="18"/>
                <w:szCs w:val="18"/>
              </w:rPr>
              <w:t>Herbicide Active Ingredient</w:t>
            </w:r>
          </w:p>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b/>
                <w:bCs/>
                <w:color w:val="000000"/>
                <w:sz w:val="18"/>
                <w:szCs w:val="18"/>
              </w:rPr>
              <w:t>(Trade Name)</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b/>
                <w:bCs/>
                <w:color w:val="000000"/>
                <w:sz w:val="18"/>
                <w:szCs w:val="18"/>
              </w:rPr>
              <w:t>Product per Acre</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b/>
                <w:bCs/>
                <w:color w:val="000000"/>
                <w:sz w:val="18"/>
                <w:szCs w:val="18"/>
              </w:rPr>
              <w:t>Application Timing or Growth Stage</w:t>
            </w:r>
          </w:p>
        </w:tc>
      </w:tr>
      <w:tr w:rsidR="00851AE6" w:rsidRPr="00851AE6">
        <w:tblPrEx>
          <w:tblCellMar>
            <w:top w:w="0" w:type="dxa"/>
            <w:bottom w:w="0" w:type="dxa"/>
          </w:tblCellMar>
        </w:tblPrEx>
        <w:trPr>
          <w:trHeight w:val="199"/>
        </w:trPr>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proofErr w:type="spellStart"/>
            <w:r w:rsidRPr="00851AE6">
              <w:rPr>
                <w:rFonts w:ascii="ITC Franklin Gothic BookObl" w:hAnsi="ITC Franklin Gothic BookObl" w:cs="ITC Franklin Gothic BookObl"/>
                <w:i/>
                <w:iCs/>
                <w:color w:val="000000"/>
                <w:sz w:val="18"/>
                <w:szCs w:val="18"/>
              </w:rPr>
              <w:t>Dicamba</w:t>
            </w:r>
            <w:proofErr w:type="spellEnd"/>
            <w:r w:rsidRPr="00851AE6">
              <w:rPr>
                <w:rFonts w:ascii="ITC Franklin Gothic BookObl" w:hAnsi="ITC Franklin Gothic BookObl" w:cs="ITC Franklin Gothic BookObl"/>
                <w:i/>
                <w:iCs/>
                <w:color w:val="000000"/>
                <w:sz w:val="18"/>
                <w:szCs w:val="18"/>
              </w:rPr>
              <w:t xml:space="preserve"> </w:t>
            </w:r>
            <w:r w:rsidRPr="00851AE6">
              <w:rPr>
                <w:rFonts w:ascii="ITC Franklin Gothic Book" w:hAnsi="ITC Franklin Gothic Book" w:cs="ITC Franklin Gothic Book"/>
                <w:color w:val="000000"/>
                <w:sz w:val="18"/>
                <w:szCs w:val="18"/>
              </w:rPr>
              <w:t>(e.g. Vanquish, Clarity)</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color w:val="000000"/>
                <w:sz w:val="18"/>
                <w:szCs w:val="18"/>
              </w:rPr>
              <w:t>8 to 32 ounces</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color w:val="000000"/>
                <w:sz w:val="18"/>
                <w:szCs w:val="18"/>
              </w:rPr>
              <w:t>Rosette to bolting</w:t>
            </w:r>
          </w:p>
        </w:tc>
      </w:tr>
      <w:tr w:rsidR="00851AE6" w:rsidRPr="00851AE6">
        <w:tblPrEx>
          <w:tblCellMar>
            <w:top w:w="0" w:type="dxa"/>
            <w:bottom w:w="0" w:type="dxa"/>
          </w:tblCellMar>
        </w:tblPrEx>
        <w:trPr>
          <w:trHeight w:val="199"/>
        </w:trPr>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proofErr w:type="spellStart"/>
            <w:r w:rsidRPr="00851AE6">
              <w:rPr>
                <w:rFonts w:ascii="ITC Franklin Gothic BookObl" w:hAnsi="ITC Franklin Gothic BookObl" w:cs="ITC Franklin Gothic BookObl"/>
                <w:i/>
                <w:iCs/>
                <w:color w:val="000000"/>
                <w:sz w:val="18"/>
                <w:szCs w:val="18"/>
              </w:rPr>
              <w:t>Picloram</w:t>
            </w:r>
            <w:proofErr w:type="spellEnd"/>
            <w:r w:rsidRPr="00851AE6">
              <w:rPr>
                <w:rFonts w:ascii="ITC Franklin Gothic BookObl" w:hAnsi="ITC Franklin Gothic BookObl" w:cs="ITC Franklin Gothic BookObl"/>
                <w:i/>
                <w:iCs/>
                <w:color w:val="000000"/>
                <w:sz w:val="18"/>
                <w:szCs w:val="18"/>
              </w:rPr>
              <w:t xml:space="preserve"> </w:t>
            </w:r>
            <w:r w:rsidRPr="00851AE6">
              <w:rPr>
                <w:rFonts w:ascii="ITC Franklin Gothic Book" w:hAnsi="ITC Franklin Gothic Book" w:cs="ITC Franklin Gothic Book"/>
                <w:color w:val="000000"/>
                <w:sz w:val="18"/>
                <w:szCs w:val="18"/>
              </w:rPr>
              <w:t>(</w:t>
            </w:r>
            <w:proofErr w:type="spellStart"/>
            <w:r w:rsidRPr="00851AE6">
              <w:rPr>
                <w:rFonts w:ascii="ITC Franklin Gothic Book" w:hAnsi="ITC Franklin Gothic Book" w:cs="ITC Franklin Gothic Book"/>
                <w:color w:val="000000"/>
                <w:sz w:val="18"/>
                <w:szCs w:val="18"/>
              </w:rPr>
              <w:t>Tordon</w:t>
            </w:r>
            <w:proofErr w:type="spellEnd"/>
            <w:r w:rsidRPr="00851AE6">
              <w:rPr>
                <w:rFonts w:ascii="ITC Franklin Gothic Book" w:hAnsi="ITC Franklin Gothic Book" w:cs="ITC Franklin Gothic Book"/>
                <w:color w:val="000000"/>
                <w:sz w:val="18"/>
                <w:szCs w:val="18"/>
              </w:rPr>
              <w:t>)</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color w:val="000000"/>
                <w:sz w:val="18"/>
                <w:szCs w:val="18"/>
              </w:rPr>
              <w:t>1 to 2 pints</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color w:val="000000"/>
                <w:sz w:val="18"/>
                <w:szCs w:val="18"/>
              </w:rPr>
              <w:t>Actively growing plants when there is adequate soil moisture</w:t>
            </w:r>
          </w:p>
        </w:tc>
      </w:tr>
      <w:tr w:rsidR="00851AE6" w:rsidRPr="00851AE6">
        <w:tblPrEx>
          <w:tblCellMar>
            <w:top w:w="0" w:type="dxa"/>
            <w:bottom w:w="0" w:type="dxa"/>
          </w:tblCellMar>
        </w:tblPrEx>
        <w:trPr>
          <w:trHeight w:val="99"/>
        </w:trPr>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proofErr w:type="spellStart"/>
            <w:r w:rsidRPr="00851AE6">
              <w:rPr>
                <w:rFonts w:ascii="ITC Franklin Gothic BookObl" w:hAnsi="ITC Franklin Gothic BookObl" w:cs="ITC Franklin Gothic BookObl"/>
                <w:i/>
                <w:iCs/>
                <w:color w:val="000000"/>
                <w:sz w:val="18"/>
                <w:szCs w:val="18"/>
              </w:rPr>
              <w:t>Metsulfuron</w:t>
            </w:r>
            <w:proofErr w:type="spellEnd"/>
            <w:r w:rsidRPr="00851AE6">
              <w:rPr>
                <w:rFonts w:ascii="ITC Franklin Gothic BookObl" w:hAnsi="ITC Franklin Gothic BookObl" w:cs="ITC Franklin Gothic BookObl"/>
                <w:i/>
                <w:iCs/>
                <w:color w:val="000000"/>
                <w:sz w:val="18"/>
                <w:szCs w:val="18"/>
              </w:rPr>
              <w:t xml:space="preserve"> </w:t>
            </w:r>
            <w:r w:rsidRPr="00851AE6">
              <w:rPr>
                <w:rFonts w:ascii="ITC Franklin Gothic Book" w:hAnsi="ITC Franklin Gothic Book" w:cs="ITC Franklin Gothic Book"/>
                <w:color w:val="000000"/>
                <w:sz w:val="18"/>
                <w:szCs w:val="18"/>
              </w:rPr>
              <w:t>(Escort)</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color w:val="000000"/>
                <w:sz w:val="18"/>
                <w:szCs w:val="18"/>
              </w:rPr>
              <w:t>0.5 to 1.0 ounces</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color w:val="000000"/>
                <w:sz w:val="18"/>
                <w:szCs w:val="18"/>
              </w:rPr>
              <w:t>Bolting to early flowering</w:t>
            </w:r>
          </w:p>
        </w:tc>
      </w:tr>
      <w:tr w:rsidR="00851AE6" w:rsidRPr="00851AE6">
        <w:tblPrEx>
          <w:tblCellMar>
            <w:top w:w="0" w:type="dxa"/>
            <w:bottom w:w="0" w:type="dxa"/>
          </w:tblCellMar>
        </w:tblPrEx>
        <w:trPr>
          <w:trHeight w:val="199"/>
        </w:trPr>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proofErr w:type="spellStart"/>
            <w:r w:rsidRPr="00851AE6">
              <w:rPr>
                <w:rFonts w:ascii="ITC Franklin Gothic BookObl" w:hAnsi="ITC Franklin Gothic BookObl" w:cs="ITC Franklin Gothic BookObl"/>
                <w:i/>
                <w:iCs/>
                <w:color w:val="000000"/>
                <w:sz w:val="18"/>
                <w:szCs w:val="18"/>
              </w:rPr>
              <w:t>Metsulfuron</w:t>
            </w:r>
            <w:proofErr w:type="spellEnd"/>
            <w:r w:rsidRPr="00851AE6">
              <w:rPr>
                <w:rFonts w:ascii="ITC Franklin Gothic BookObl" w:hAnsi="ITC Franklin Gothic BookObl" w:cs="ITC Franklin Gothic BookObl"/>
                <w:i/>
                <w:iCs/>
                <w:color w:val="000000"/>
                <w:sz w:val="18"/>
                <w:szCs w:val="18"/>
              </w:rPr>
              <w:t xml:space="preserve"> </w:t>
            </w:r>
            <w:r w:rsidRPr="00851AE6">
              <w:rPr>
                <w:rFonts w:ascii="ITC Franklin Gothic Book" w:hAnsi="ITC Franklin Gothic Book" w:cs="ITC Franklin Gothic Book"/>
                <w:color w:val="000000"/>
                <w:sz w:val="18"/>
                <w:szCs w:val="18"/>
              </w:rPr>
              <w:t xml:space="preserve">+ </w:t>
            </w:r>
            <w:proofErr w:type="spellStart"/>
            <w:r w:rsidRPr="00851AE6">
              <w:rPr>
                <w:rFonts w:ascii="ITC Franklin Gothic BookObl" w:hAnsi="ITC Franklin Gothic BookObl" w:cs="ITC Franklin Gothic BookObl"/>
                <w:i/>
                <w:iCs/>
                <w:color w:val="000000"/>
                <w:sz w:val="18"/>
                <w:szCs w:val="18"/>
              </w:rPr>
              <w:t>chlorsulfuron</w:t>
            </w:r>
            <w:proofErr w:type="spellEnd"/>
            <w:r w:rsidRPr="00851AE6">
              <w:rPr>
                <w:rFonts w:ascii="ITC Franklin Gothic BookObl" w:hAnsi="ITC Franklin Gothic BookObl" w:cs="ITC Franklin Gothic BookObl"/>
                <w:i/>
                <w:iCs/>
                <w:color w:val="000000"/>
                <w:sz w:val="18"/>
                <w:szCs w:val="18"/>
              </w:rPr>
              <w:t xml:space="preserve"> </w:t>
            </w:r>
            <w:r w:rsidRPr="00851AE6">
              <w:rPr>
                <w:rFonts w:ascii="ITC Franklin Gothic Book" w:hAnsi="ITC Franklin Gothic Book" w:cs="ITC Franklin Gothic Book"/>
                <w:color w:val="000000"/>
                <w:sz w:val="18"/>
                <w:szCs w:val="18"/>
              </w:rPr>
              <w:t>(Cimarron Plus)</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color w:val="000000"/>
                <w:sz w:val="18"/>
                <w:szCs w:val="18"/>
              </w:rPr>
              <w:t>0.625 to 1.25 ounces</w:t>
            </w:r>
          </w:p>
        </w:tc>
        <w:tc>
          <w:tcPr>
            <w:tcW w:w="2624" w:type="dxa"/>
          </w:tcPr>
          <w:p w:rsidR="00851AE6" w:rsidRPr="00851AE6" w:rsidRDefault="00851AE6" w:rsidP="00851AE6">
            <w:pPr>
              <w:autoSpaceDE w:val="0"/>
              <w:autoSpaceDN w:val="0"/>
              <w:adjustRightInd w:val="0"/>
              <w:spacing w:before="40" w:after="0" w:line="181" w:lineRule="atLeast"/>
              <w:jc w:val="center"/>
              <w:rPr>
                <w:rFonts w:ascii="ITC Franklin Gothic Book" w:hAnsi="ITC Franklin Gothic Book" w:cs="ITC Franklin Gothic Book"/>
                <w:color w:val="000000"/>
                <w:sz w:val="18"/>
                <w:szCs w:val="18"/>
              </w:rPr>
            </w:pPr>
            <w:r w:rsidRPr="00851AE6">
              <w:rPr>
                <w:rFonts w:ascii="ITC Franklin Gothic Book" w:hAnsi="ITC Franklin Gothic Book" w:cs="ITC Franklin Gothic Book"/>
                <w:color w:val="000000"/>
                <w:sz w:val="18"/>
                <w:szCs w:val="18"/>
              </w:rPr>
              <w:t>Actively growing plants</w:t>
            </w:r>
          </w:p>
        </w:tc>
      </w:tr>
    </w:tbl>
    <w:p w:rsidR="00851AE6" w:rsidRDefault="00851AE6" w:rsidP="00851AE6">
      <w:pPr>
        <w:jc w:val="both"/>
        <w:rPr>
          <w:sz w:val="20"/>
          <w:szCs w:val="20"/>
        </w:rPr>
      </w:pPr>
    </w:p>
    <w:p w:rsidR="00655715" w:rsidRPr="001C231B" w:rsidRDefault="001E4F47" w:rsidP="00163DBB">
      <w:pPr>
        <w:jc w:val="both"/>
        <w:rPr>
          <w:sz w:val="20"/>
          <w:szCs w:val="20"/>
        </w:rPr>
      </w:pPr>
      <w:r>
        <w:rPr>
          <w:sz w:val="20"/>
          <w:szCs w:val="20"/>
        </w:rPr>
        <w:t>As always, p</w:t>
      </w:r>
      <w:r w:rsidR="00B86A68">
        <w:rPr>
          <w:sz w:val="20"/>
          <w:szCs w:val="20"/>
        </w:rPr>
        <w:t xml:space="preserve">lease </w:t>
      </w:r>
      <w:r w:rsidR="00655715" w:rsidRPr="001C231B">
        <w:rPr>
          <w:sz w:val="20"/>
          <w:szCs w:val="20"/>
        </w:rPr>
        <w:t xml:space="preserve">notify the HWCWMA if you see </w:t>
      </w:r>
      <w:r w:rsidR="004011E7">
        <w:rPr>
          <w:sz w:val="20"/>
          <w:szCs w:val="20"/>
        </w:rPr>
        <w:t>black henbane</w:t>
      </w:r>
      <w:r w:rsidR="00655715" w:rsidRPr="001C231B">
        <w:rPr>
          <w:sz w:val="20"/>
          <w:szCs w:val="20"/>
        </w:rPr>
        <w:t xml:space="preserve"> growing</w:t>
      </w:r>
      <w:r w:rsidR="002C72B2">
        <w:rPr>
          <w:sz w:val="20"/>
          <w:szCs w:val="20"/>
        </w:rPr>
        <w:t xml:space="preserve"> within the Humboldt River Watershed</w:t>
      </w:r>
      <w:r w:rsidR="00163DBB">
        <w:rPr>
          <w:sz w:val="20"/>
          <w:szCs w:val="20"/>
        </w:rPr>
        <w:t xml:space="preserve"> - </w:t>
      </w:r>
      <w:r w:rsidR="00705A6C">
        <w:rPr>
          <w:sz w:val="20"/>
          <w:szCs w:val="20"/>
        </w:rPr>
        <w:t xml:space="preserve">it is </w:t>
      </w:r>
      <w:r w:rsidR="004011E7">
        <w:rPr>
          <w:sz w:val="20"/>
          <w:szCs w:val="20"/>
        </w:rPr>
        <w:t xml:space="preserve">only known to be </w:t>
      </w:r>
      <w:r w:rsidR="00705A6C">
        <w:rPr>
          <w:sz w:val="20"/>
          <w:szCs w:val="20"/>
        </w:rPr>
        <w:t xml:space="preserve">established </w:t>
      </w:r>
      <w:r w:rsidR="004011E7">
        <w:rPr>
          <w:sz w:val="20"/>
          <w:szCs w:val="20"/>
        </w:rPr>
        <w:t xml:space="preserve">in a few locations </w:t>
      </w:r>
      <w:r w:rsidR="00705A6C">
        <w:rPr>
          <w:sz w:val="20"/>
          <w:szCs w:val="20"/>
        </w:rPr>
        <w:t>in this region</w:t>
      </w:r>
      <w:r w:rsidR="0047543A">
        <w:rPr>
          <w:sz w:val="20"/>
          <w:szCs w:val="20"/>
        </w:rPr>
        <w:t xml:space="preserve"> and w</w:t>
      </w:r>
      <w:r w:rsidR="00B1765F">
        <w:rPr>
          <w:sz w:val="20"/>
          <w:szCs w:val="20"/>
        </w:rPr>
        <w:t xml:space="preserve">e </w:t>
      </w:r>
      <w:r w:rsidR="0047543A">
        <w:rPr>
          <w:sz w:val="20"/>
          <w:szCs w:val="20"/>
        </w:rPr>
        <w:t xml:space="preserve">may </w:t>
      </w:r>
      <w:r w:rsidR="00B1765F">
        <w:rPr>
          <w:sz w:val="20"/>
          <w:szCs w:val="20"/>
        </w:rPr>
        <w:t>have an opportunity to stop</w:t>
      </w:r>
      <w:r w:rsidR="00705A6C">
        <w:rPr>
          <w:sz w:val="20"/>
          <w:szCs w:val="20"/>
        </w:rPr>
        <w:t xml:space="preserve"> this highly</w:t>
      </w:r>
      <w:r w:rsidR="00B1765F">
        <w:rPr>
          <w:sz w:val="20"/>
          <w:szCs w:val="20"/>
        </w:rPr>
        <w:t xml:space="preserve"> invasive species </w:t>
      </w:r>
      <w:r w:rsidR="00B1765F" w:rsidRPr="001C231B">
        <w:rPr>
          <w:sz w:val="20"/>
          <w:szCs w:val="20"/>
        </w:rPr>
        <w:t>from</w:t>
      </w:r>
      <w:r w:rsidR="00B1765F">
        <w:rPr>
          <w:sz w:val="20"/>
          <w:szCs w:val="20"/>
        </w:rPr>
        <w:t xml:space="preserve"> s</w:t>
      </w:r>
      <w:r w:rsidR="00163DBB">
        <w:rPr>
          <w:sz w:val="20"/>
          <w:szCs w:val="20"/>
        </w:rPr>
        <w:t>preading if we act quickly.  O</w:t>
      </w:r>
      <w:r w:rsidR="00655715" w:rsidRPr="001C231B">
        <w:rPr>
          <w:sz w:val="20"/>
          <w:szCs w:val="20"/>
        </w:rPr>
        <w:t xml:space="preserve">ur </w:t>
      </w:r>
      <w:hyperlink r:id="rId8" w:history="1">
        <w:r w:rsidR="00655715" w:rsidRPr="001C231B">
          <w:rPr>
            <w:sz w:val="20"/>
            <w:szCs w:val="20"/>
          </w:rPr>
          <w:t>staff</w:t>
        </w:r>
      </w:hyperlink>
      <w:r w:rsidR="00655715" w:rsidRPr="001C231B">
        <w:rPr>
          <w:sz w:val="20"/>
          <w:szCs w:val="20"/>
        </w:rPr>
        <w:t xml:space="preserve"> can provide the property owner or appropriate public agency with </w:t>
      </w:r>
      <w:r w:rsidR="002C72B2">
        <w:rPr>
          <w:sz w:val="20"/>
          <w:szCs w:val="20"/>
        </w:rPr>
        <w:t>site-specific treatment options for these plants</w:t>
      </w:r>
      <w:r w:rsidR="00655715" w:rsidRPr="001C231B">
        <w:rPr>
          <w:sz w:val="20"/>
          <w:szCs w:val="20"/>
        </w:rPr>
        <w:t xml:space="preserve">.  </w:t>
      </w:r>
      <w:r w:rsidR="00B1765F">
        <w:rPr>
          <w:sz w:val="20"/>
          <w:szCs w:val="20"/>
        </w:rPr>
        <w:t>The HWCWMA also maps and monitors</w:t>
      </w:r>
      <w:r w:rsidR="00310259" w:rsidRPr="00310259">
        <w:rPr>
          <w:sz w:val="20"/>
          <w:szCs w:val="20"/>
        </w:rPr>
        <w:t xml:space="preserve"> heavily </w:t>
      </w:r>
      <w:r w:rsidR="00B1765F">
        <w:rPr>
          <w:sz w:val="20"/>
          <w:szCs w:val="20"/>
        </w:rPr>
        <w:t>infested sites in the watershed which allows the</w:t>
      </w:r>
      <w:r w:rsidR="00310259" w:rsidRPr="00310259">
        <w:rPr>
          <w:sz w:val="20"/>
          <w:szCs w:val="20"/>
        </w:rPr>
        <w:t xml:space="preserve"> HWCWMA the ability to </w:t>
      </w:r>
      <w:r w:rsidR="00B1765F">
        <w:rPr>
          <w:sz w:val="20"/>
          <w:szCs w:val="20"/>
        </w:rPr>
        <w:t>provide</w:t>
      </w:r>
      <w:r w:rsidR="00310259" w:rsidRPr="00310259">
        <w:rPr>
          <w:sz w:val="20"/>
          <w:szCs w:val="20"/>
        </w:rPr>
        <w:t xml:space="preserve"> educational and financial assistance to land owners and groups in their management efforts, ultimately improving all of the qualities of the land and water</w:t>
      </w:r>
      <w:r w:rsidR="00B1765F">
        <w:rPr>
          <w:sz w:val="20"/>
          <w:szCs w:val="20"/>
        </w:rPr>
        <w:t xml:space="preserve"> in our watershed</w:t>
      </w:r>
      <w:r w:rsidR="00310259" w:rsidRPr="00310259">
        <w:rPr>
          <w:sz w:val="20"/>
          <w:szCs w:val="20"/>
        </w:rPr>
        <w:t>.</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w:t>
      </w:r>
      <w:r w:rsidR="00B1765F">
        <w:rPr>
          <w:rFonts w:ascii="Calibri" w:eastAsia="Calibri" w:hAnsi="Calibri" w:cs="Times New Roman"/>
          <w:sz w:val="20"/>
          <w:szCs w:val="20"/>
        </w:rPr>
        <w:t>HW</w:t>
      </w:r>
      <w:r w:rsidRPr="001C231B">
        <w:rPr>
          <w:rFonts w:ascii="Calibri" w:eastAsia="Calibri" w:hAnsi="Calibri" w:cs="Times New Roman"/>
          <w:sz w:val="20"/>
          <w:szCs w:val="20"/>
        </w:rPr>
        <w:t xml:space="preserve">CWMA has also developed a website to serve as a clearinghouse for information on </w:t>
      </w:r>
      <w:r w:rsidR="00FE7D4D">
        <w:rPr>
          <w:rFonts w:ascii="Calibri" w:eastAsia="Calibri" w:hAnsi="Calibri" w:cs="Times New Roman"/>
          <w:sz w:val="20"/>
          <w:szCs w:val="20"/>
        </w:rPr>
        <w:t xml:space="preserve">invasive </w:t>
      </w:r>
      <w:r w:rsidRPr="001C231B">
        <w:rPr>
          <w:rFonts w:ascii="Calibri" w:eastAsia="Calibri" w:hAnsi="Calibri" w:cs="Times New Roman"/>
          <w:sz w:val="20"/>
          <w:szCs w:val="20"/>
        </w:rPr>
        <w:t xml:space="preserve">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Andi Porreca, HWCWMA Coordinator at (775) 762-2636 or email her at </w:t>
      </w:r>
      <w:hyperlink r:id="rId9" w:history="1">
        <w:r w:rsidRPr="001C231B">
          <w:rPr>
            <w:rFonts w:ascii="Calibri" w:eastAsia="Calibri" w:hAnsi="Calibri" w:cs="Times New Roman"/>
            <w:color w:val="0000FF"/>
            <w:sz w:val="20"/>
            <w:szCs w:val="20"/>
            <w:u w:val="single"/>
          </w:rPr>
          <w:t>aporreca@humboldtweedfree.org</w:t>
        </w:r>
      </w:hyperlink>
      <w:r w:rsidR="00B1765F">
        <w:rPr>
          <w:rFonts w:ascii="Calibri" w:eastAsia="Calibri" w:hAnsi="Calibri" w:cs="Times New Roman"/>
          <w:sz w:val="20"/>
          <w:szCs w:val="20"/>
        </w:rPr>
        <w:t>.  Y</w:t>
      </w:r>
      <w:r w:rsidRPr="001C231B">
        <w:rPr>
          <w:rFonts w:ascii="Calibri" w:eastAsia="Calibri" w:hAnsi="Calibri" w:cs="Times New Roman"/>
          <w:sz w:val="20"/>
          <w:szCs w:val="20"/>
        </w:rPr>
        <w:t xml:space="preserve">ou may </w:t>
      </w:r>
      <w:r w:rsidR="00B1765F">
        <w:rPr>
          <w:rFonts w:ascii="Calibri" w:eastAsia="Calibri" w:hAnsi="Calibri" w:cs="Times New Roman"/>
          <w:sz w:val="20"/>
          <w:szCs w:val="20"/>
        </w:rPr>
        <w:t xml:space="preserve">also </w:t>
      </w:r>
      <w:r w:rsidRPr="001C231B">
        <w:rPr>
          <w:rFonts w:ascii="Calibri" w:eastAsia="Calibri" w:hAnsi="Calibri" w:cs="Times New Roman"/>
          <w:sz w:val="20"/>
          <w:szCs w:val="20"/>
        </w:rPr>
        <w:t>speak wit</w:t>
      </w:r>
      <w:r w:rsidR="00D44EF8">
        <w:rPr>
          <w:rFonts w:ascii="Calibri" w:eastAsia="Calibri" w:hAnsi="Calibri" w:cs="Times New Roman"/>
          <w:sz w:val="20"/>
          <w:szCs w:val="20"/>
        </w:rPr>
        <w:t xml:space="preserve">h Rhonda </w:t>
      </w:r>
      <w:proofErr w:type="spellStart"/>
      <w:r w:rsidR="00D44EF8">
        <w:rPr>
          <w:rFonts w:ascii="Calibri" w:eastAsia="Calibri" w:hAnsi="Calibri" w:cs="Times New Roman"/>
          <w:sz w:val="20"/>
          <w:szCs w:val="20"/>
        </w:rPr>
        <w:t>Heguy</w:t>
      </w:r>
      <w:proofErr w:type="spellEnd"/>
      <w:r w:rsidR="00D44EF8">
        <w:rPr>
          <w:rFonts w:ascii="Calibri" w:eastAsia="Calibri" w:hAnsi="Calibri" w:cs="Times New Roman"/>
          <w:sz w:val="20"/>
          <w:szCs w:val="20"/>
        </w:rPr>
        <w:t>, HWCWMA Administrator</w:t>
      </w:r>
      <w:r w:rsidRPr="001C231B">
        <w:rPr>
          <w:rFonts w:ascii="Calibri" w:eastAsia="Calibri" w:hAnsi="Calibri" w:cs="Times New Roman"/>
          <w:sz w:val="20"/>
          <w:szCs w:val="20"/>
        </w:rPr>
        <w:t xml:space="preserve"> at (775) 738-3085, email: </w:t>
      </w:r>
      <w:hyperlink r:id="rId10" w:history="1">
        <w:r w:rsidRPr="001C231B">
          <w:rPr>
            <w:rFonts w:ascii="Calibri" w:eastAsia="Calibri" w:hAnsi="Calibri" w:cs="Times New Roman"/>
            <w:color w:val="0000FF"/>
            <w:sz w:val="20"/>
            <w:szCs w:val="20"/>
            <w:u w:val="single"/>
          </w:rPr>
          <w:t>hwcwma@gmail.com</w:t>
        </w:r>
      </w:hyperlink>
      <w:r w:rsidRPr="001C231B">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52" w:rsidRDefault="00270452" w:rsidP="00602CD7">
      <w:pPr>
        <w:spacing w:after="0" w:line="240" w:lineRule="auto"/>
      </w:pPr>
      <w:r>
        <w:separator/>
      </w:r>
    </w:p>
  </w:endnote>
  <w:endnote w:type="continuationSeparator" w:id="0">
    <w:p w:rsidR="00270452" w:rsidRDefault="00270452"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BookObl">
    <w:altName w:val="ITC Franklin Gothic BookObl"/>
    <w:panose1 w:val="00000000000000000000"/>
    <w:charset w:val="00"/>
    <w:family w:val="swiss"/>
    <w:notTrueType/>
    <w:pitch w:val="default"/>
    <w:sig w:usb0="00000003" w:usb1="00000000" w:usb2="0000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D8" w:rsidRDefault="005710C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w:t>
    </w:r>
    <w:r w:rsidR="00FE50D8">
      <w:rPr>
        <w:rFonts w:asciiTheme="majorHAnsi" w:eastAsiaTheme="majorEastAsia" w:hAnsiTheme="majorHAnsi" w:cstheme="majorBidi"/>
      </w:rPr>
      <w:t>Black henbane</w:t>
    </w:r>
  </w:p>
  <w:p w:rsidR="000B1737" w:rsidRDefault="000B17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E50D8" w:rsidRPr="00FE50D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52" w:rsidRDefault="00270452" w:rsidP="00602CD7">
      <w:pPr>
        <w:spacing w:after="0" w:line="240" w:lineRule="auto"/>
      </w:pPr>
      <w:r>
        <w:separator/>
      </w:r>
    </w:p>
  </w:footnote>
  <w:footnote w:type="continuationSeparator" w:id="0">
    <w:p w:rsidR="00270452" w:rsidRDefault="00270452"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D7"/>
    <w:rsid w:val="000042BE"/>
    <w:rsid w:val="000A50C1"/>
    <w:rsid w:val="000B1737"/>
    <w:rsid w:val="000E7956"/>
    <w:rsid w:val="001353C7"/>
    <w:rsid w:val="00163DBB"/>
    <w:rsid w:val="00177635"/>
    <w:rsid w:val="001C16A1"/>
    <w:rsid w:val="001C231B"/>
    <w:rsid w:val="001E4F47"/>
    <w:rsid w:val="00213987"/>
    <w:rsid w:val="00234744"/>
    <w:rsid w:val="0024152D"/>
    <w:rsid w:val="00252CD4"/>
    <w:rsid w:val="0026437C"/>
    <w:rsid w:val="00270452"/>
    <w:rsid w:val="002C63EA"/>
    <w:rsid w:val="002C72B2"/>
    <w:rsid w:val="002D58D1"/>
    <w:rsid w:val="002E2AB0"/>
    <w:rsid w:val="00310259"/>
    <w:rsid w:val="00334F67"/>
    <w:rsid w:val="00376FED"/>
    <w:rsid w:val="003979E9"/>
    <w:rsid w:val="003D28C2"/>
    <w:rsid w:val="004011E7"/>
    <w:rsid w:val="00414F6F"/>
    <w:rsid w:val="00423241"/>
    <w:rsid w:val="00457217"/>
    <w:rsid w:val="0047543A"/>
    <w:rsid w:val="004C1CC0"/>
    <w:rsid w:val="00517450"/>
    <w:rsid w:val="00555184"/>
    <w:rsid w:val="00565BE3"/>
    <w:rsid w:val="005710CA"/>
    <w:rsid w:val="00574B7A"/>
    <w:rsid w:val="005A2B25"/>
    <w:rsid w:val="00602CD7"/>
    <w:rsid w:val="006266E6"/>
    <w:rsid w:val="00652C25"/>
    <w:rsid w:val="00655715"/>
    <w:rsid w:val="006B1374"/>
    <w:rsid w:val="006C04B5"/>
    <w:rsid w:val="00705A6C"/>
    <w:rsid w:val="007E648F"/>
    <w:rsid w:val="008112FF"/>
    <w:rsid w:val="0084009F"/>
    <w:rsid w:val="00851AE6"/>
    <w:rsid w:val="00857EDE"/>
    <w:rsid w:val="00863840"/>
    <w:rsid w:val="008868DD"/>
    <w:rsid w:val="008C1821"/>
    <w:rsid w:val="008D1017"/>
    <w:rsid w:val="00913403"/>
    <w:rsid w:val="00920E18"/>
    <w:rsid w:val="009F0CC4"/>
    <w:rsid w:val="00A756E1"/>
    <w:rsid w:val="00AE4B5E"/>
    <w:rsid w:val="00B02EB7"/>
    <w:rsid w:val="00B11EFC"/>
    <w:rsid w:val="00B1765F"/>
    <w:rsid w:val="00B86A68"/>
    <w:rsid w:val="00BB28B0"/>
    <w:rsid w:val="00BD6BE6"/>
    <w:rsid w:val="00BE72DF"/>
    <w:rsid w:val="00C4325E"/>
    <w:rsid w:val="00C516EB"/>
    <w:rsid w:val="00CE2E38"/>
    <w:rsid w:val="00D001CD"/>
    <w:rsid w:val="00D064CB"/>
    <w:rsid w:val="00D32D22"/>
    <w:rsid w:val="00D44EF8"/>
    <w:rsid w:val="00D70066"/>
    <w:rsid w:val="00D93659"/>
    <w:rsid w:val="00DB1712"/>
    <w:rsid w:val="00DE2AAD"/>
    <w:rsid w:val="00E123D2"/>
    <w:rsid w:val="00E16BA3"/>
    <w:rsid w:val="00EC29D3"/>
    <w:rsid w:val="00ED1CBD"/>
    <w:rsid w:val="00EF076C"/>
    <w:rsid w:val="00F02D43"/>
    <w:rsid w:val="00F506BD"/>
    <w:rsid w:val="00F7336B"/>
    <w:rsid w:val="00F85A27"/>
    <w:rsid w:val="00FB42E4"/>
    <w:rsid w:val="00FB5B26"/>
    <w:rsid w:val="00FB7624"/>
    <w:rsid w:val="00FE50D8"/>
    <w:rsid w:val="00FE7D4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D48D33-AEF4-4562-88F5-B66E27D6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 w:type="character" w:styleId="FollowedHyperlink">
    <w:name w:val="FollowedHyperlink"/>
    <w:basedOn w:val="DefaultParagraphFont"/>
    <w:uiPriority w:val="99"/>
    <w:semiHidden/>
    <w:unhideWhenUsed/>
    <w:rsid w:val="00EC2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358">
      <w:bodyDiv w:val="1"/>
      <w:marLeft w:val="0"/>
      <w:marRight w:val="0"/>
      <w:marTop w:val="0"/>
      <w:marBottom w:val="0"/>
      <w:divBdr>
        <w:top w:val="none" w:sz="0" w:space="0" w:color="auto"/>
        <w:left w:val="none" w:sz="0" w:space="0" w:color="auto"/>
        <w:bottom w:val="none" w:sz="0" w:space="0" w:color="auto"/>
        <w:right w:val="none" w:sz="0" w:space="0" w:color="auto"/>
      </w:divBdr>
      <w:divsChild>
        <w:div w:id="1935280029">
          <w:marLeft w:val="0"/>
          <w:marRight w:val="0"/>
          <w:marTop w:val="0"/>
          <w:marBottom w:val="0"/>
          <w:divBdr>
            <w:top w:val="none" w:sz="0" w:space="0" w:color="auto"/>
            <w:left w:val="none" w:sz="0" w:space="0" w:color="auto"/>
            <w:bottom w:val="none" w:sz="0" w:space="0" w:color="auto"/>
            <w:right w:val="none" w:sz="0" w:space="0" w:color="auto"/>
          </w:divBdr>
        </w:div>
        <w:div w:id="676689545">
          <w:marLeft w:val="0"/>
          <w:marRight w:val="0"/>
          <w:marTop w:val="0"/>
          <w:marBottom w:val="0"/>
          <w:divBdr>
            <w:top w:val="none" w:sz="0" w:space="0" w:color="auto"/>
            <w:left w:val="none" w:sz="0" w:space="0" w:color="auto"/>
            <w:bottom w:val="none" w:sz="0" w:space="0" w:color="auto"/>
            <w:right w:val="none" w:sz="0" w:space="0" w:color="auto"/>
          </w:divBdr>
        </w:div>
        <w:div w:id="98765417">
          <w:marLeft w:val="0"/>
          <w:marRight w:val="0"/>
          <w:marTop w:val="0"/>
          <w:marBottom w:val="0"/>
          <w:divBdr>
            <w:top w:val="none" w:sz="0" w:space="0" w:color="auto"/>
            <w:left w:val="none" w:sz="0" w:space="0" w:color="auto"/>
            <w:bottom w:val="none" w:sz="0" w:space="0" w:color="auto"/>
            <w:right w:val="none" w:sz="0" w:space="0" w:color="auto"/>
          </w:divBdr>
        </w:div>
        <w:div w:id="1764447880">
          <w:marLeft w:val="0"/>
          <w:marRight w:val="0"/>
          <w:marTop w:val="0"/>
          <w:marBottom w:val="0"/>
          <w:divBdr>
            <w:top w:val="none" w:sz="0" w:space="0" w:color="auto"/>
            <w:left w:val="none" w:sz="0" w:space="0" w:color="auto"/>
            <w:bottom w:val="none" w:sz="0" w:space="0" w:color="auto"/>
            <w:right w:val="none" w:sz="0" w:space="0" w:color="auto"/>
          </w:divBdr>
        </w:div>
        <w:div w:id="1359311434">
          <w:marLeft w:val="0"/>
          <w:marRight w:val="0"/>
          <w:marTop w:val="0"/>
          <w:marBottom w:val="0"/>
          <w:divBdr>
            <w:top w:val="none" w:sz="0" w:space="0" w:color="auto"/>
            <w:left w:val="none" w:sz="0" w:space="0" w:color="auto"/>
            <w:bottom w:val="none" w:sz="0" w:space="0" w:color="auto"/>
            <w:right w:val="none" w:sz="0" w:space="0" w:color="auto"/>
          </w:divBdr>
        </w:div>
        <w:div w:id="455954976">
          <w:marLeft w:val="0"/>
          <w:marRight w:val="0"/>
          <w:marTop w:val="0"/>
          <w:marBottom w:val="0"/>
          <w:divBdr>
            <w:top w:val="none" w:sz="0" w:space="0" w:color="auto"/>
            <w:left w:val="none" w:sz="0" w:space="0" w:color="auto"/>
            <w:bottom w:val="none" w:sz="0" w:space="0" w:color="auto"/>
            <w:right w:val="none" w:sz="0" w:space="0" w:color="auto"/>
          </w:divBdr>
        </w:div>
        <w:div w:id="786779356">
          <w:marLeft w:val="0"/>
          <w:marRight w:val="0"/>
          <w:marTop w:val="0"/>
          <w:marBottom w:val="0"/>
          <w:divBdr>
            <w:top w:val="none" w:sz="0" w:space="0" w:color="auto"/>
            <w:left w:val="none" w:sz="0" w:space="0" w:color="auto"/>
            <w:bottom w:val="none" w:sz="0" w:space="0" w:color="auto"/>
            <w:right w:val="none" w:sz="0" w:space="0" w:color="auto"/>
          </w:divBdr>
        </w:div>
        <w:div w:id="707217223">
          <w:marLeft w:val="0"/>
          <w:marRight w:val="0"/>
          <w:marTop w:val="0"/>
          <w:marBottom w:val="0"/>
          <w:divBdr>
            <w:top w:val="none" w:sz="0" w:space="0" w:color="auto"/>
            <w:left w:val="none" w:sz="0" w:space="0" w:color="auto"/>
            <w:bottom w:val="none" w:sz="0" w:space="0" w:color="auto"/>
            <w:right w:val="none" w:sz="0" w:space="0" w:color="auto"/>
          </w:divBdr>
        </w:div>
        <w:div w:id="521432048">
          <w:marLeft w:val="0"/>
          <w:marRight w:val="0"/>
          <w:marTop w:val="0"/>
          <w:marBottom w:val="0"/>
          <w:divBdr>
            <w:top w:val="none" w:sz="0" w:space="0" w:color="auto"/>
            <w:left w:val="none" w:sz="0" w:space="0" w:color="auto"/>
            <w:bottom w:val="none" w:sz="0" w:space="0" w:color="auto"/>
            <w:right w:val="none" w:sz="0" w:space="0" w:color="auto"/>
          </w:divBdr>
        </w:div>
        <w:div w:id="1944461386">
          <w:marLeft w:val="0"/>
          <w:marRight w:val="0"/>
          <w:marTop w:val="0"/>
          <w:marBottom w:val="0"/>
          <w:divBdr>
            <w:top w:val="none" w:sz="0" w:space="0" w:color="auto"/>
            <w:left w:val="none" w:sz="0" w:space="0" w:color="auto"/>
            <w:bottom w:val="none" w:sz="0" w:space="0" w:color="auto"/>
            <w:right w:val="none" w:sz="0" w:space="0" w:color="auto"/>
          </w:divBdr>
        </w:div>
        <w:div w:id="991643135">
          <w:marLeft w:val="0"/>
          <w:marRight w:val="0"/>
          <w:marTop w:val="0"/>
          <w:marBottom w:val="0"/>
          <w:divBdr>
            <w:top w:val="none" w:sz="0" w:space="0" w:color="auto"/>
            <w:left w:val="none" w:sz="0" w:space="0" w:color="auto"/>
            <w:bottom w:val="none" w:sz="0" w:space="0" w:color="auto"/>
            <w:right w:val="none" w:sz="0" w:space="0" w:color="auto"/>
          </w:divBdr>
        </w:div>
        <w:div w:id="1761026278">
          <w:marLeft w:val="0"/>
          <w:marRight w:val="0"/>
          <w:marTop w:val="0"/>
          <w:marBottom w:val="0"/>
          <w:divBdr>
            <w:top w:val="none" w:sz="0" w:space="0" w:color="auto"/>
            <w:left w:val="none" w:sz="0" w:space="0" w:color="auto"/>
            <w:bottom w:val="none" w:sz="0" w:space="0" w:color="auto"/>
            <w:right w:val="none" w:sz="0" w:space="0" w:color="auto"/>
          </w:divBdr>
        </w:div>
        <w:div w:id="896428873">
          <w:marLeft w:val="0"/>
          <w:marRight w:val="0"/>
          <w:marTop w:val="0"/>
          <w:marBottom w:val="0"/>
          <w:divBdr>
            <w:top w:val="none" w:sz="0" w:space="0" w:color="auto"/>
            <w:left w:val="none" w:sz="0" w:space="0" w:color="auto"/>
            <w:bottom w:val="none" w:sz="0" w:space="0" w:color="auto"/>
            <w:right w:val="none" w:sz="0" w:space="0" w:color="auto"/>
          </w:divBdr>
        </w:div>
        <w:div w:id="2013869417">
          <w:marLeft w:val="0"/>
          <w:marRight w:val="0"/>
          <w:marTop w:val="0"/>
          <w:marBottom w:val="0"/>
          <w:divBdr>
            <w:top w:val="none" w:sz="0" w:space="0" w:color="auto"/>
            <w:left w:val="none" w:sz="0" w:space="0" w:color="auto"/>
            <w:bottom w:val="none" w:sz="0" w:space="0" w:color="auto"/>
            <w:right w:val="none" w:sz="0" w:space="0" w:color="auto"/>
          </w:divBdr>
        </w:div>
      </w:divsChild>
    </w:div>
    <w:div w:id="190269705">
      <w:bodyDiv w:val="1"/>
      <w:marLeft w:val="0"/>
      <w:marRight w:val="0"/>
      <w:marTop w:val="0"/>
      <w:marBottom w:val="0"/>
      <w:divBdr>
        <w:top w:val="none" w:sz="0" w:space="0" w:color="auto"/>
        <w:left w:val="none" w:sz="0" w:space="0" w:color="auto"/>
        <w:bottom w:val="none" w:sz="0" w:space="0" w:color="auto"/>
        <w:right w:val="none" w:sz="0" w:space="0" w:color="auto"/>
      </w:divBdr>
      <w:divsChild>
        <w:div w:id="545605243">
          <w:marLeft w:val="0"/>
          <w:marRight w:val="0"/>
          <w:marTop w:val="0"/>
          <w:marBottom w:val="0"/>
          <w:divBdr>
            <w:top w:val="none" w:sz="0" w:space="0" w:color="auto"/>
            <w:left w:val="none" w:sz="0" w:space="0" w:color="auto"/>
            <w:bottom w:val="none" w:sz="0" w:space="0" w:color="auto"/>
            <w:right w:val="none" w:sz="0" w:space="0" w:color="auto"/>
          </w:divBdr>
        </w:div>
        <w:div w:id="2069067748">
          <w:marLeft w:val="0"/>
          <w:marRight w:val="0"/>
          <w:marTop w:val="0"/>
          <w:marBottom w:val="0"/>
          <w:divBdr>
            <w:top w:val="none" w:sz="0" w:space="0" w:color="auto"/>
            <w:left w:val="none" w:sz="0" w:space="0" w:color="auto"/>
            <w:bottom w:val="none" w:sz="0" w:space="0" w:color="auto"/>
            <w:right w:val="none" w:sz="0" w:space="0" w:color="auto"/>
          </w:divBdr>
        </w:div>
      </w:divsChild>
    </w:div>
    <w:div w:id="301153093">
      <w:bodyDiv w:val="1"/>
      <w:marLeft w:val="0"/>
      <w:marRight w:val="0"/>
      <w:marTop w:val="0"/>
      <w:marBottom w:val="0"/>
      <w:divBdr>
        <w:top w:val="none" w:sz="0" w:space="0" w:color="auto"/>
        <w:left w:val="none" w:sz="0" w:space="0" w:color="auto"/>
        <w:bottom w:val="none" w:sz="0" w:space="0" w:color="auto"/>
        <w:right w:val="none" w:sz="0" w:space="0" w:color="auto"/>
      </w:divBdr>
    </w:div>
    <w:div w:id="531839972">
      <w:bodyDiv w:val="1"/>
      <w:marLeft w:val="0"/>
      <w:marRight w:val="0"/>
      <w:marTop w:val="0"/>
      <w:marBottom w:val="0"/>
      <w:divBdr>
        <w:top w:val="none" w:sz="0" w:space="0" w:color="auto"/>
        <w:left w:val="none" w:sz="0" w:space="0" w:color="auto"/>
        <w:bottom w:val="none" w:sz="0" w:space="0" w:color="auto"/>
        <w:right w:val="none" w:sz="0" w:space="0" w:color="auto"/>
      </w:divBdr>
    </w:div>
    <w:div w:id="792940294">
      <w:bodyDiv w:val="1"/>
      <w:marLeft w:val="0"/>
      <w:marRight w:val="0"/>
      <w:marTop w:val="0"/>
      <w:marBottom w:val="0"/>
      <w:divBdr>
        <w:top w:val="none" w:sz="0" w:space="0" w:color="auto"/>
        <w:left w:val="none" w:sz="0" w:space="0" w:color="auto"/>
        <w:bottom w:val="none" w:sz="0" w:space="0" w:color="auto"/>
        <w:right w:val="none" w:sz="0" w:space="0" w:color="auto"/>
      </w:divBdr>
      <w:divsChild>
        <w:div w:id="1758553329">
          <w:marLeft w:val="0"/>
          <w:marRight w:val="0"/>
          <w:marTop w:val="0"/>
          <w:marBottom w:val="0"/>
          <w:divBdr>
            <w:top w:val="none" w:sz="0" w:space="0" w:color="auto"/>
            <w:left w:val="none" w:sz="0" w:space="0" w:color="auto"/>
            <w:bottom w:val="none" w:sz="0" w:space="0" w:color="auto"/>
            <w:right w:val="none" w:sz="0" w:space="0" w:color="auto"/>
          </w:divBdr>
        </w:div>
        <w:div w:id="511140422">
          <w:marLeft w:val="0"/>
          <w:marRight w:val="0"/>
          <w:marTop w:val="0"/>
          <w:marBottom w:val="0"/>
          <w:divBdr>
            <w:top w:val="none" w:sz="0" w:space="0" w:color="auto"/>
            <w:left w:val="none" w:sz="0" w:space="0" w:color="auto"/>
            <w:bottom w:val="none" w:sz="0" w:space="0" w:color="auto"/>
            <w:right w:val="none" w:sz="0" w:space="0" w:color="auto"/>
          </w:divBdr>
        </w:div>
        <w:div w:id="1311328324">
          <w:marLeft w:val="0"/>
          <w:marRight w:val="0"/>
          <w:marTop w:val="0"/>
          <w:marBottom w:val="0"/>
          <w:divBdr>
            <w:top w:val="none" w:sz="0" w:space="0" w:color="auto"/>
            <w:left w:val="none" w:sz="0" w:space="0" w:color="auto"/>
            <w:bottom w:val="none" w:sz="0" w:space="0" w:color="auto"/>
            <w:right w:val="none" w:sz="0" w:space="0" w:color="auto"/>
          </w:divBdr>
        </w:div>
        <w:div w:id="1202330">
          <w:marLeft w:val="0"/>
          <w:marRight w:val="0"/>
          <w:marTop w:val="0"/>
          <w:marBottom w:val="0"/>
          <w:divBdr>
            <w:top w:val="none" w:sz="0" w:space="0" w:color="auto"/>
            <w:left w:val="none" w:sz="0" w:space="0" w:color="auto"/>
            <w:bottom w:val="none" w:sz="0" w:space="0" w:color="auto"/>
            <w:right w:val="none" w:sz="0" w:space="0" w:color="auto"/>
          </w:divBdr>
        </w:div>
        <w:div w:id="769547781">
          <w:marLeft w:val="0"/>
          <w:marRight w:val="0"/>
          <w:marTop w:val="0"/>
          <w:marBottom w:val="0"/>
          <w:divBdr>
            <w:top w:val="none" w:sz="0" w:space="0" w:color="auto"/>
            <w:left w:val="none" w:sz="0" w:space="0" w:color="auto"/>
            <w:bottom w:val="none" w:sz="0" w:space="0" w:color="auto"/>
            <w:right w:val="none" w:sz="0" w:space="0" w:color="auto"/>
          </w:divBdr>
        </w:div>
        <w:div w:id="2056654176">
          <w:marLeft w:val="0"/>
          <w:marRight w:val="0"/>
          <w:marTop w:val="0"/>
          <w:marBottom w:val="0"/>
          <w:divBdr>
            <w:top w:val="none" w:sz="0" w:space="0" w:color="auto"/>
            <w:left w:val="none" w:sz="0" w:space="0" w:color="auto"/>
            <w:bottom w:val="none" w:sz="0" w:space="0" w:color="auto"/>
            <w:right w:val="none" w:sz="0" w:space="0" w:color="auto"/>
          </w:divBdr>
        </w:div>
        <w:div w:id="397826316">
          <w:marLeft w:val="0"/>
          <w:marRight w:val="0"/>
          <w:marTop w:val="0"/>
          <w:marBottom w:val="0"/>
          <w:divBdr>
            <w:top w:val="none" w:sz="0" w:space="0" w:color="auto"/>
            <w:left w:val="none" w:sz="0" w:space="0" w:color="auto"/>
            <w:bottom w:val="none" w:sz="0" w:space="0" w:color="auto"/>
            <w:right w:val="none" w:sz="0" w:space="0" w:color="auto"/>
          </w:divBdr>
        </w:div>
        <w:div w:id="1169293436">
          <w:marLeft w:val="0"/>
          <w:marRight w:val="0"/>
          <w:marTop w:val="0"/>
          <w:marBottom w:val="0"/>
          <w:divBdr>
            <w:top w:val="none" w:sz="0" w:space="0" w:color="auto"/>
            <w:left w:val="none" w:sz="0" w:space="0" w:color="auto"/>
            <w:bottom w:val="none" w:sz="0" w:space="0" w:color="auto"/>
            <w:right w:val="none" w:sz="0" w:space="0" w:color="auto"/>
          </w:divBdr>
        </w:div>
        <w:div w:id="409733570">
          <w:marLeft w:val="0"/>
          <w:marRight w:val="0"/>
          <w:marTop w:val="0"/>
          <w:marBottom w:val="0"/>
          <w:divBdr>
            <w:top w:val="none" w:sz="0" w:space="0" w:color="auto"/>
            <w:left w:val="none" w:sz="0" w:space="0" w:color="auto"/>
            <w:bottom w:val="none" w:sz="0" w:space="0" w:color="auto"/>
            <w:right w:val="none" w:sz="0" w:space="0" w:color="auto"/>
          </w:divBdr>
        </w:div>
        <w:div w:id="1621720751">
          <w:marLeft w:val="0"/>
          <w:marRight w:val="0"/>
          <w:marTop w:val="0"/>
          <w:marBottom w:val="0"/>
          <w:divBdr>
            <w:top w:val="none" w:sz="0" w:space="0" w:color="auto"/>
            <w:left w:val="none" w:sz="0" w:space="0" w:color="auto"/>
            <w:bottom w:val="none" w:sz="0" w:space="0" w:color="auto"/>
            <w:right w:val="none" w:sz="0" w:space="0" w:color="auto"/>
          </w:divBdr>
        </w:div>
        <w:div w:id="580330578">
          <w:marLeft w:val="0"/>
          <w:marRight w:val="0"/>
          <w:marTop w:val="0"/>
          <w:marBottom w:val="0"/>
          <w:divBdr>
            <w:top w:val="none" w:sz="0" w:space="0" w:color="auto"/>
            <w:left w:val="none" w:sz="0" w:space="0" w:color="auto"/>
            <w:bottom w:val="none" w:sz="0" w:space="0" w:color="auto"/>
            <w:right w:val="none" w:sz="0" w:space="0" w:color="auto"/>
          </w:divBdr>
        </w:div>
        <w:div w:id="1727994100">
          <w:marLeft w:val="0"/>
          <w:marRight w:val="0"/>
          <w:marTop w:val="0"/>
          <w:marBottom w:val="0"/>
          <w:divBdr>
            <w:top w:val="none" w:sz="0" w:space="0" w:color="auto"/>
            <w:left w:val="none" w:sz="0" w:space="0" w:color="auto"/>
            <w:bottom w:val="none" w:sz="0" w:space="0" w:color="auto"/>
            <w:right w:val="none" w:sz="0" w:space="0" w:color="auto"/>
          </w:divBdr>
        </w:div>
        <w:div w:id="1677687023">
          <w:marLeft w:val="0"/>
          <w:marRight w:val="0"/>
          <w:marTop w:val="0"/>
          <w:marBottom w:val="0"/>
          <w:divBdr>
            <w:top w:val="none" w:sz="0" w:space="0" w:color="auto"/>
            <w:left w:val="none" w:sz="0" w:space="0" w:color="auto"/>
            <w:bottom w:val="none" w:sz="0" w:space="0" w:color="auto"/>
            <w:right w:val="none" w:sz="0" w:space="0" w:color="auto"/>
          </w:divBdr>
        </w:div>
        <w:div w:id="186993799">
          <w:marLeft w:val="0"/>
          <w:marRight w:val="0"/>
          <w:marTop w:val="0"/>
          <w:marBottom w:val="0"/>
          <w:divBdr>
            <w:top w:val="none" w:sz="0" w:space="0" w:color="auto"/>
            <w:left w:val="none" w:sz="0" w:space="0" w:color="auto"/>
            <w:bottom w:val="none" w:sz="0" w:space="0" w:color="auto"/>
            <w:right w:val="none" w:sz="0" w:space="0" w:color="auto"/>
          </w:divBdr>
        </w:div>
        <w:div w:id="1852983606">
          <w:marLeft w:val="0"/>
          <w:marRight w:val="0"/>
          <w:marTop w:val="0"/>
          <w:marBottom w:val="0"/>
          <w:divBdr>
            <w:top w:val="none" w:sz="0" w:space="0" w:color="auto"/>
            <w:left w:val="none" w:sz="0" w:space="0" w:color="auto"/>
            <w:bottom w:val="none" w:sz="0" w:space="0" w:color="auto"/>
            <w:right w:val="none" w:sz="0" w:space="0" w:color="auto"/>
          </w:divBdr>
        </w:div>
        <w:div w:id="775757270">
          <w:marLeft w:val="0"/>
          <w:marRight w:val="0"/>
          <w:marTop w:val="0"/>
          <w:marBottom w:val="0"/>
          <w:divBdr>
            <w:top w:val="none" w:sz="0" w:space="0" w:color="auto"/>
            <w:left w:val="none" w:sz="0" w:space="0" w:color="auto"/>
            <w:bottom w:val="none" w:sz="0" w:space="0" w:color="auto"/>
            <w:right w:val="none" w:sz="0" w:space="0" w:color="auto"/>
          </w:divBdr>
        </w:div>
        <w:div w:id="637225411">
          <w:marLeft w:val="0"/>
          <w:marRight w:val="0"/>
          <w:marTop w:val="0"/>
          <w:marBottom w:val="0"/>
          <w:divBdr>
            <w:top w:val="none" w:sz="0" w:space="0" w:color="auto"/>
            <w:left w:val="none" w:sz="0" w:space="0" w:color="auto"/>
            <w:bottom w:val="none" w:sz="0" w:space="0" w:color="auto"/>
            <w:right w:val="none" w:sz="0" w:space="0" w:color="auto"/>
          </w:divBdr>
        </w:div>
        <w:div w:id="1477450714">
          <w:marLeft w:val="0"/>
          <w:marRight w:val="0"/>
          <w:marTop w:val="0"/>
          <w:marBottom w:val="0"/>
          <w:divBdr>
            <w:top w:val="none" w:sz="0" w:space="0" w:color="auto"/>
            <w:left w:val="none" w:sz="0" w:space="0" w:color="auto"/>
            <w:bottom w:val="none" w:sz="0" w:space="0" w:color="auto"/>
            <w:right w:val="none" w:sz="0" w:space="0" w:color="auto"/>
          </w:divBdr>
        </w:div>
        <w:div w:id="163208450">
          <w:marLeft w:val="0"/>
          <w:marRight w:val="0"/>
          <w:marTop w:val="0"/>
          <w:marBottom w:val="0"/>
          <w:divBdr>
            <w:top w:val="none" w:sz="0" w:space="0" w:color="auto"/>
            <w:left w:val="none" w:sz="0" w:space="0" w:color="auto"/>
            <w:bottom w:val="none" w:sz="0" w:space="0" w:color="auto"/>
            <w:right w:val="none" w:sz="0" w:space="0" w:color="auto"/>
          </w:divBdr>
        </w:div>
        <w:div w:id="658072608">
          <w:marLeft w:val="0"/>
          <w:marRight w:val="0"/>
          <w:marTop w:val="0"/>
          <w:marBottom w:val="0"/>
          <w:divBdr>
            <w:top w:val="none" w:sz="0" w:space="0" w:color="auto"/>
            <w:left w:val="none" w:sz="0" w:space="0" w:color="auto"/>
            <w:bottom w:val="none" w:sz="0" w:space="0" w:color="auto"/>
            <w:right w:val="none" w:sz="0" w:space="0" w:color="auto"/>
          </w:divBdr>
        </w:div>
        <w:div w:id="1483742098">
          <w:marLeft w:val="0"/>
          <w:marRight w:val="0"/>
          <w:marTop w:val="0"/>
          <w:marBottom w:val="0"/>
          <w:divBdr>
            <w:top w:val="none" w:sz="0" w:space="0" w:color="auto"/>
            <w:left w:val="none" w:sz="0" w:space="0" w:color="auto"/>
            <w:bottom w:val="none" w:sz="0" w:space="0" w:color="auto"/>
            <w:right w:val="none" w:sz="0" w:space="0" w:color="auto"/>
          </w:divBdr>
        </w:div>
        <w:div w:id="862551400">
          <w:marLeft w:val="0"/>
          <w:marRight w:val="0"/>
          <w:marTop w:val="0"/>
          <w:marBottom w:val="0"/>
          <w:divBdr>
            <w:top w:val="none" w:sz="0" w:space="0" w:color="auto"/>
            <w:left w:val="none" w:sz="0" w:space="0" w:color="auto"/>
            <w:bottom w:val="none" w:sz="0" w:space="0" w:color="auto"/>
            <w:right w:val="none" w:sz="0" w:space="0" w:color="auto"/>
          </w:divBdr>
        </w:div>
        <w:div w:id="1039740364">
          <w:marLeft w:val="0"/>
          <w:marRight w:val="0"/>
          <w:marTop w:val="0"/>
          <w:marBottom w:val="0"/>
          <w:divBdr>
            <w:top w:val="none" w:sz="0" w:space="0" w:color="auto"/>
            <w:left w:val="none" w:sz="0" w:space="0" w:color="auto"/>
            <w:bottom w:val="none" w:sz="0" w:space="0" w:color="auto"/>
            <w:right w:val="none" w:sz="0" w:space="0" w:color="auto"/>
          </w:divBdr>
        </w:div>
        <w:div w:id="146285925">
          <w:marLeft w:val="0"/>
          <w:marRight w:val="0"/>
          <w:marTop w:val="0"/>
          <w:marBottom w:val="0"/>
          <w:divBdr>
            <w:top w:val="none" w:sz="0" w:space="0" w:color="auto"/>
            <w:left w:val="none" w:sz="0" w:space="0" w:color="auto"/>
            <w:bottom w:val="none" w:sz="0" w:space="0" w:color="auto"/>
            <w:right w:val="none" w:sz="0" w:space="0" w:color="auto"/>
          </w:divBdr>
        </w:div>
      </w:divsChild>
    </w:div>
    <w:div w:id="815299990">
      <w:bodyDiv w:val="1"/>
      <w:marLeft w:val="0"/>
      <w:marRight w:val="0"/>
      <w:marTop w:val="0"/>
      <w:marBottom w:val="0"/>
      <w:divBdr>
        <w:top w:val="none" w:sz="0" w:space="0" w:color="auto"/>
        <w:left w:val="none" w:sz="0" w:space="0" w:color="auto"/>
        <w:bottom w:val="none" w:sz="0" w:space="0" w:color="auto"/>
        <w:right w:val="none" w:sz="0" w:space="0" w:color="auto"/>
      </w:divBdr>
    </w:div>
    <w:div w:id="1011957830">
      <w:bodyDiv w:val="1"/>
      <w:marLeft w:val="0"/>
      <w:marRight w:val="0"/>
      <w:marTop w:val="0"/>
      <w:marBottom w:val="0"/>
      <w:divBdr>
        <w:top w:val="none" w:sz="0" w:space="0" w:color="auto"/>
        <w:left w:val="none" w:sz="0" w:space="0" w:color="auto"/>
        <w:bottom w:val="none" w:sz="0" w:space="0" w:color="auto"/>
        <w:right w:val="none" w:sz="0" w:space="0" w:color="auto"/>
      </w:divBdr>
    </w:div>
    <w:div w:id="1293486276">
      <w:bodyDiv w:val="1"/>
      <w:marLeft w:val="0"/>
      <w:marRight w:val="0"/>
      <w:marTop w:val="0"/>
      <w:marBottom w:val="0"/>
      <w:divBdr>
        <w:top w:val="none" w:sz="0" w:space="0" w:color="auto"/>
        <w:left w:val="none" w:sz="0" w:space="0" w:color="auto"/>
        <w:bottom w:val="none" w:sz="0" w:space="0" w:color="auto"/>
        <w:right w:val="none" w:sz="0" w:space="0" w:color="auto"/>
      </w:divBdr>
    </w:div>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county.gov/environment/animalsAndPlants/noxious-weeds/program-information/who-we-ar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wcwma@gmail.com" TargetMode="External"/><Relationship Id="rId4" Type="http://schemas.openxmlformats.org/officeDocument/2006/relationships/settings" Target="settings.xml"/><Relationship Id="rId9" Type="http://schemas.openxmlformats.org/officeDocument/2006/relationships/hyperlink" Target="mailto:aporreca@humboldtweedfre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82A95-71FB-40DE-9B2C-FE6B609E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8</cp:revision>
  <dcterms:created xsi:type="dcterms:W3CDTF">2015-03-10T19:20:00Z</dcterms:created>
  <dcterms:modified xsi:type="dcterms:W3CDTF">2015-03-10T19:54:00Z</dcterms:modified>
</cp:coreProperties>
</file>