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82B" w:rsidRPr="003D4043" w:rsidRDefault="006701D2" w:rsidP="002E082B">
      <w:pPr>
        <w:jc w:val="right"/>
        <w:rPr>
          <w:sz w:val="14"/>
        </w:rPr>
      </w:pPr>
      <w:hyperlink r:id="rId7" w:history="1">
        <w:r w:rsidR="002E082B" w:rsidRPr="002E082B">
          <w:rPr>
            <w:rStyle w:val="Hyperlink"/>
            <w:sz w:val="18"/>
          </w:rPr>
          <w:t>http://www.rsaia.org/legislative.html</w:t>
        </w:r>
      </w:hyperlink>
      <w:r w:rsidR="002E082B">
        <w:rPr>
          <w:sz w:val="14"/>
        </w:rPr>
        <w:t xml:space="preserve"> </w:t>
      </w:r>
    </w:p>
    <w:p w:rsidR="002E082B" w:rsidRPr="002D20AC" w:rsidRDefault="002E082B" w:rsidP="0040318A">
      <w:pPr>
        <w:shd w:val="clear" w:color="auto" w:fill="FFFFFF"/>
        <w:spacing w:after="0" w:line="240" w:lineRule="auto"/>
        <w:ind w:right="-270"/>
        <w:jc w:val="center"/>
        <w:rPr>
          <w:rFonts w:ascii="Arial" w:eastAsia="Times New Roman" w:hAnsi="Arial" w:cs="Arial"/>
          <w:b/>
          <w:bCs/>
          <w:color w:val="000000"/>
          <w:sz w:val="20"/>
          <w:szCs w:val="23"/>
        </w:rPr>
      </w:pPr>
      <w:r w:rsidRPr="002D20AC">
        <w:rPr>
          <w:rFonts w:ascii="Arial" w:eastAsia="Times New Roman" w:hAnsi="Arial" w:cs="Arial"/>
          <w:b/>
          <w:bCs/>
          <w:color w:val="000000"/>
          <w:sz w:val="28"/>
          <w:szCs w:val="23"/>
        </w:rPr>
        <w:t>202</w:t>
      </w:r>
      <w:r w:rsidR="005B3302" w:rsidRPr="002D20AC">
        <w:rPr>
          <w:rFonts w:ascii="Arial" w:eastAsia="Times New Roman" w:hAnsi="Arial" w:cs="Arial"/>
          <w:b/>
          <w:bCs/>
          <w:color w:val="000000"/>
          <w:sz w:val="28"/>
          <w:szCs w:val="23"/>
        </w:rPr>
        <w:t>1</w:t>
      </w:r>
      <w:r w:rsidRPr="002D20AC">
        <w:rPr>
          <w:rFonts w:ascii="Arial" w:eastAsia="Times New Roman" w:hAnsi="Arial" w:cs="Arial"/>
          <w:b/>
          <w:bCs/>
          <w:color w:val="000000"/>
          <w:sz w:val="28"/>
          <w:szCs w:val="23"/>
        </w:rPr>
        <w:t xml:space="preserve"> </w:t>
      </w:r>
      <w:r w:rsidR="008205E3" w:rsidRPr="002D20AC">
        <w:rPr>
          <w:rFonts w:ascii="Arial" w:eastAsia="Times New Roman" w:hAnsi="Arial" w:cs="Arial"/>
          <w:b/>
          <w:bCs/>
          <w:color w:val="000000"/>
          <w:sz w:val="28"/>
          <w:szCs w:val="23"/>
        </w:rPr>
        <w:t xml:space="preserve">RSAI </w:t>
      </w:r>
      <w:r w:rsidRPr="002D20AC">
        <w:rPr>
          <w:rFonts w:ascii="Arial" w:eastAsia="Times New Roman" w:hAnsi="Arial" w:cs="Arial"/>
          <w:b/>
          <w:bCs/>
          <w:color w:val="000000"/>
          <w:sz w:val="28"/>
          <w:szCs w:val="23"/>
        </w:rPr>
        <w:t>Legislative Priorities</w:t>
      </w:r>
      <w:bookmarkStart w:id="0" w:name="_GoBack"/>
      <w:bookmarkEnd w:id="0"/>
    </w:p>
    <w:p w:rsidR="008205E3" w:rsidRDefault="008205E3" w:rsidP="0000657D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0657D" w:rsidRPr="00740EAF" w:rsidRDefault="0000657D" w:rsidP="0000657D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Adequate School Resources:</w:t>
      </w:r>
      <w:r w:rsidRPr="00740EAF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r w:rsidR="00542E71" w:rsidRPr="00740EAF">
        <w:rPr>
          <w:rFonts w:ascii="Arial" w:eastAsia="Times New Roman" w:hAnsi="Arial" w:cs="Arial"/>
          <w:bCs/>
          <w:color w:val="000000"/>
          <w:sz w:val="21"/>
          <w:szCs w:val="21"/>
        </w:rPr>
        <w:t>t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he increase in SSA should be no lower than anticipated growth in state revenue,</w:t>
      </w:r>
      <w:r w:rsidR="00E24920"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not lower than 3.75% in FY 2022 due to abundant FY 2020 state surplus</w:t>
      </w:r>
      <w:r w:rsidR="00542E71"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maintain balance</w:t>
      </w:r>
      <w:r w:rsidR="00542E71" w:rsidRPr="00740EAF">
        <w:rPr>
          <w:rFonts w:ascii="Arial" w:eastAsia="Times New Roman" w:hAnsi="Arial" w:cs="Arial"/>
          <w:color w:val="000000"/>
          <w:sz w:val="21"/>
          <w:szCs w:val="21"/>
        </w:rPr>
        <w:t>d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state and local </w:t>
      </w:r>
      <w:r w:rsidR="002D20AC" w:rsidRPr="00740EAF">
        <w:rPr>
          <w:rFonts w:ascii="Arial" w:eastAsia="Times New Roman" w:hAnsi="Arial" w:cs="Arial"/>
          <w:color w:val="000000"/>
          <w:sz w:val="21"/>
          <w:szCs w:val="21"/>
        </w:rPr>
        <w:t>resources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 w:rsidR="00542E71" w:rsidRPr="00740EAF">
        <w:rPr>
          <w:rFonts w:ascii="Arial" w:eastAsia="Times New Roman" w:hAnsi="Arial" w:cs="Arial"/>
          <w:color w:val="000000"/>
          <w:sz w:val="21"/>
          <w:szCs w:val="21"/>
        </w:rPr>
        <w:t>be predictable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, and assure </w:t>
      </w:r>
      <w:r w:rsidR="00740EAF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adequate </w:t>
      </w:r>
      <w:r w:rsidR="00542E71" w:rsidRPr="00740EAF">
        <w:rPr>
          <w:rFonts w:ascii="Arial" w:eastAsia="Times New Roman" w:hAnsi="Arial" w:cs="Arial"/>
          <w:color w:val="000000"/>
          <w:sz w:val="21"/>
          <w:szCs w:val="21"/>
        </w:rPr>
        <w:t>t</w:t>
      </w:r>
      <w:r w:rsidR="002D20AC" w:rsidRPr="00740EAF">
        <w:rPr>
          <w:rFonts w:ascii="Arial" w:eastAsia="Times New Roman" w:hAnsi="Arial" w:cs="Arial"/>
          <w:color w:val="000000"/>
          <w:sz w:val="21"/>
          <w:szCs w:val="21"/>
        </w:rPr>
        <w:t>ime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for budget planning and staffing. </w:t>
      </w:r>
    </w:p>
    <w:p w:rsidR="0000657D" w:rsidRPr="00740EAF" w:rsidRDefault="0000657D" w:rsidP="0000657D">
      <w:pPr>
        <w:pStyle w:val="ListParagraph"/>
        <w:shd w:val="clear" w:color="auto" w:fill="FFFFFF"/>
        <w:spacing w:after="0" w:line="240" w:lineRule="auto"/>
        <w:ind w:left="0"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880335" w:rsidRPr="00740EAF" w:rsidRDefault="009E2B2A" w:rsidP="00880335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color w:val="000000"/>
          <w:sz w:val="21"/>
          <w:szCs w:val="21"/>
        </w:rPr>
        <w:t>Assessing and Addressing Staff/</w:t>
      </w:r>
      <w:r w:rsidR="005B3302" w:rsidRPr="00740EAF">
        <w:rPr>
          <w:rFonts w:ascii="Arial" w:eastAsia="Times New Roman" w:hAnsi="Arial" w:cs="Arial"/>
          <w:b/>
          <w:color w:val="000000"/>
          <w:sz w:val="21"/>
          <w:szCs w:val="21"/>
        </w:rPr>
        <w:t>Student Soc</w:t>
      </w:r>
      <w:r w:rsidRPr="00740EAF">
        <w:rPr>
          <w:rFonts w:ascii="Arial" w:eastAsia="Times New Roman" w:hAnsi="Arial" w:cs="Arial"/>
          <w:b/>
          <w:color w:val="000000"/>
          <w:sz w:val="21"/>
          <w:szCs w:val="21"/>
        </w:rPr>
        <w:t>ial, E</w:t>
      </w:r>
      <w:r w:rsidR="005B3302" w:rsidRPr="00740EAF">
        <w:rPr>
          <w:rFonts w:ascii="Arial" w:eastAsia="Times New Roman" w:hAnsi="Arial" w:cs="Arial"/>
          <w:b/>
          <w:color w:val="000000"/>
          <w:sz w:val="21"/>
          <w:szCs w:val="21"/>
        </w:rPr>
        <w:t>motional and Behavioral Health</w:t>
      </w:r>
      <w:r w:rsidR="00880335" w:rsidRPr="00740EAF">
        <w:rPr>
          <w:rFonts w:ascii="Arial" w:eastAsia="Times New Roman" w:hAnsi="Arial" w:cs="Arial"/>
          <w:b/>
          <w:color w:val="000000"/>
          <w:sz w:val="21"/>
          <w:szCs w:val="21"/>
        </w:rPr>
        <w:t>:</w:t>
      </w:r>
      <w:r w:rsidR="003168DD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880335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access to </w:t>
      </w:r>
      <w:r w:rsidR="00740EAF">
        <w:rPr>
          <w:rFonts w:ascii="Arial" w:eastAsia="Times New Roman" w:hAnsi="Arial" w:cs="Arial"/>
          <w:color w:val="000000"/>
          <w:sz w:val="21"/>
          <w:szCs w:val="21"/>
        </w:rPr>
        <w:t>funded</w:t>
      </w:r>
      <w:r w:rsidR="00880335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mental health services for children</w:t>
      </w:r>
      <w:r w:rsidR="005B3302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and supports for staff</w:t>
      </w:r>
      <w:r w:rsidR="00880335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r w:rsidR="00542E71" w:rsidRPr="00740EAF">
        <w:rPr>
          <w:rFonts w:ascii="Arial" w:eastAsia="Times New Roman" w:hAnsi="Arial" w:cs="Arial"/>
          <w:color w:val="000000"/>
          <w:sz w:val="21"/>
          <w:szCs w:val="21"/>
        </w:rPr>
        <w:t>A</w:t>
      </w:r>
      <w:r w:rsidR="00B04A87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ddress </w:t>
      </w:r>
      <w:r w:rsidR="00542E71" w:rsidRPr="00740EAF">
        <w:rPr>
          <w:rFonts w:ascii="Arial" w:eastAsia="Times New Roman" w:hAnsi="Arial" w:cs="Arial"/>
          <w:color w:val="000000"/>
          <w:sz w:val="21"/>
          <w:szCs w:val="21"/>
        </w:rPr>
        <w:t>the</w:t>
      </w:r>
      <w:r w:rsidR="00B04A87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shortage of mental health professionals and provide resources over the next two years for local districts </w:t>
      </w:r>
      <w:r w:rsidR="00740EAF">
        <w:rPr>
          <w:rFonts w:ascii="Arial" w:eastAsia="Times New Roman" w:hAnsi="Arial" w:cs="Arial"/>
          <w:color w:val="000000"/>
          <w:sz w:val="21"/>
          <w:szCs w:val="21"/>
        </w:rPr>
        <w:t xml:space="preserve">to </w:t>
      </w:r>
      <w:r w:rsidR="00B04A87" w:rsidRPr="00740EAF">
        <w:rPr>
          <w:rFonts w:ascii="Arial" w:eastAsia="Times New Roman" w:hAnsi="Arial" w:cs="Arial"/>
          <w:color w:val="000000"/>
          <w:sz w:val="21"/>
          <w:szCs w:val="21"/>
        </w:rPr>
        <w:t>train school staff based on a local need</w:t>
      </w:r>
      <w:r w:rsidR="00542E71" w:rsidRPr="00740EAF">
        <w:rPr>
          <w:rFonts w:ascii="Arial" w:eastAsia="Times New Roman" w:hAnsi="Arial" w:cs="Arial"/>
          <w:color w:val="000000"/>
          <w:sz w:val="21"/>
          <w:szCs w:val="21"/>
        </w:rPr>
        <w:t>s</w:t>
      </w:r>
      <w:r w:rsidR="00B04A87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and community capacity to collaborate for a collective solution. </w:t>
      </w:r>
    </w:p>
    <w:p w:rsidR="0000657D" w:rsidRPr="00740EAF" w:rsidRDefault="0000657D" w:rsidP="0000657D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Educator Shortage and Quality Instruction:</w:t>
      </w:r>
      <w:r w:rsidR="003168DD"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maximum flexibility to hire staff to provide great instruction</w:t>
      </w:r>
      <w:r w:rsidR="00542E71" w:rsidRPr="00740EAF">
        <w:rPr>
          <w:rFonts w:ascii="Arial" w:eastAsia="Times New Roman" w:hAnsi="Arial" w:cs="Arial"/>
          <w:color w:val="000000"/>
          <w:sz w:val="21"/>
          <w:szCs w:val="21"/>
        </w:rPr>
        <w:t>, including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0B766D" w:rsidRPr="00740EAF">
        <w:rPr>
          <w:rFonts w:ascii="Arial" w:eastAsia="Times New Roman" w:hAnsi="Arial" w:cs="Arial"/>
          <w:color w:val="000000"/>
          <w:sz w:val="21"/>
          <w:szCs w:val="21"/>
        </w:rPr>
        <w:t>several strategies to attract and retain quality staff</w:t>
      </w:r>
      <w:r w:rsidR="00542E71" w:rsidRPr="00740EAF">
        <w:rPr>
          <w:rFonts w:ascii="Arial" w:eastAsia="Times New Roman" w:hAnsi="Arial" w:cs="Arial"/>
          <w:color w:val="000000"/>
          <w:sz w:val="21"/>
          <w:szCs w:val="21"/>
        </w:rPr>
        <w:t>;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flexibility to meet offer and teach requirements, </w:t>
      </w:r>
      <w:r w:rsidR="000B766D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loan forgiveness programs,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a special </w:t>
      </w:r>
      <w:r w:rsidR="000B766D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education generalist credential,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creation of a Public Service </w:t>
      </w:r>
      <w:r w:rsidR="00542E71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CTE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strand,</w:t>
      </w:r>
      <w:r w:rsidR="00B04A87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hire retirees without IPERS impact, </w:t>
      </w:r>
      <w:r w:rsidR="00B04A87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and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elimination of barriers to licensure</w:t>
      </w:r>
      <w:r w:rsidR="00B04A87" w:rsidRPr="00740EA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00657D" w:rsidRPr="00740EAF" w:rsidRDefault="0000657D" w:rsidP="0000657D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00657D" w:rsidRPr="00740EAF" w:rsidRDefault="00E24920" w:rsidP="0000657D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i/>
          <w:color w:val="939393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F</w:t>
      </w:r>
      <w:r w:rsidR="0000657D"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ormula and Transportation Equity:</w:t>
      </w:r>
      <w:r w:rsidR="003168DD"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="0000657D" w:rsidRPr="00740EAF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formula </w:t>
      </w:r>
      <w:r w:rsidR="000B766D" w:rsidRPr="00740EAF">
        <w:rPr>
          <w:rFonts w:ascii="Arial" w:eastAsia="Times New Roman" w:hAnsi="Arial" w:cs="Arial"/>
          <w:bCs/>
          <w:color w:val="000000"/>
          <w:sz w:val="21"/>
          <w:szCs w:val="21"/>
        </w:rPr>
        <w:t>equity, closing the s</w:t>
      </w:r>
      <w:r w:rsidR="0000657D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tate and district per pupil </w:t>
      </w:r>
      <w:r w:rsidR="000B766D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gap </w:t>
      </w:r>
      <w:r w:rsidR="0000657D" w:rsidRPr="00740EAF">
        <w:rPr>
          <w:rFonts w:ascii="Arial" w:eastAsia="Times New Roman" w:hAnsi="Arial" w:cs="Arial"/>
          <w:color w:val="000000"/>
          <w:sz w:val="21"/>
          <w:szCs w:val="21"/>
        </w:rPr>
        <w:t>within ten years and continue</w:t>
      </w:r>
      <w:r w:rsidR="000B766D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d transportation equity support </w:t>
      </w:r>
      <w:r w:rsidR="0000657D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without burdensome reporting requirements.  </w:t>
      </w:r>
    </w:p>
    <w:p w:rsidR="0000657D" w:rsidRPr="00740EAF" w:rsidRDefault="0000657D" w:rsidP="0000657D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00657D" w:rsidRPr="00740EAF" w:rsidRDefault="0000657D" w:rsidP="0000657D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Opportunity Equity:</w:t>
      </w:r>
      <w:r w:rsidR="003168DD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resources </w:t>
      </w:r>
      <w:r w:rsidR="000B766D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based on </w:t>
      </w:r>
      <w:r w:rsidR="00740EAF">
        <w:rPr>
          <w:rFonts w:ascii="Arial" w:eastAsia="Times New Roman" w:hAnsi="Arial" w:cs="Arial"/>
          <w:color w:val="000000"/>
          <w:sz w:val="21"/>
          <w:szCs w:val="21"/>
        </w:rPr>
        <w:t xml:space="preserve">at-risk </w:t>
      </w:r>
      <w:r w:rsidR="000B766D" w:rsidRPr="00740EAF">
        <w:rPr>
          <w:rFonts w:ascii="Arial" w:eastAsia="Times New Roman" w:hAnsi="Arial" w:cs="Arial"/>
          <w:color w:val="000000"/>
          <w:sz w:val="21"/>
          <w:szCs w:val="21"/>
        </w:rPr>
        <w:t>need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, in addition to enrollment. All school boards should </w:t>
      </w:r>
      <w:r w:rsidR="00990846" w:rsidRPr="00740EAF">
        <w:rPr>
          <w:rFonts w:ascii="Arial" w:eastAsia="Times New Roman" w:hAnsi="Arial" w:cs="Arial"/>
          <w:color w:val="000000"/>
          <w:sz w:val="21"/>
          <w:szCs w:val="21"/>
        </w:rPr>
        <w:t>have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5% dropout prevention funding. School districts should be granted spending authority for FRPL waived </w:t>
      </w:r>
      <w:r w:rsidR="00990846" w:rsidRPr="00740EAF">
        <w:rPr>
          <w:rFonts w:ascii="Arial" w:eastAsia="Times New Roman" w:hAnsi="Arial" w:cs="Arial"/>
          <w:color w:val="000000"/>
          <w:sz w:val="21"/>
          <w:szCs w:val="21"/>
        </w:rPr>
        <w:t>fees</w:t>
      </w:r>
      <w:r w:rsidR="00542E71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and Iowa should </w:t>
      </w:r>
      <w:r w:rsidR="00B04A87" w:rsidRPr="00740EAF">
        <w:rPr>
          <w:rFonts w:ascii="Arial" w:eastAsia="Times New Roman" w:hAnsi="Arial" w:cs="Arial"/>
          <w:color w:val="000000"/>
          <w:sz w:val="21"/>
          <w:szCs w:val="21"/>
        </w:rPr>
        <w:t>study the impact of poverty on educational outcomes</w:t>
      </w:r>
      <w:r w:rsidR="000B766D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</w:p>
    <w:p w:rsidR="0000657D" w:rsidRPr="00740EAF" w:rsidRDefault="0000657D" w:rsidP="0000657D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00657D" w:rsidRPr="00740EAF" w:rsidRDefault="0000657D" w:rsidP="0000657D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Sharing Incentives</w:t>
      </w:r>
      <w:r w:rsid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/</w:t>
      </w: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Efficiencies:</w:t>
      </w:r>
      <w:r w:rsidR="003168DD"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740EAF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extension of </w:t>
      </w:r>
      <w:r w:rsidR="000B766D" w:rsidRPr="00740EAF">
        <w:rPr>
          <w:rFonts w:ascii="Arial" w:eastAsia="Times New Roman" w:hAnsi="Arial" w:cs="Arial"/>
          <w:color w:val="000000"/>
          <w:sz w:val="21"/>
          <w:szCs w:val="21"/>
        </w:rPr>
        <w:t>Whole Grade Sharing, Reorganization and Oper</w:t>
      </w:r>
      <w:r w:rsidR="00740EAF">
        <w:rPr>
          <w:rFonts w:ascii="Arial" w:eastAsia="Times New Roman" w:hAnsi="Arial" w:cs="Arial"/>
          <w:color w:val="000000"/>
          <w:sz w:val="21"/>
          <w:szCs w:val="21"/>
        </w:rPr>
        <w:t>a</w:t>
      </w:r>
      <w:r w:rsidR="000B766D" w:rsidRPr="00740EAF">
        <w:rPr>
          <w:rFonts w:ascii="Arial" w:eastAsia="Times New Roman" w:hAnsi="Arial" w:cs="Arial"/>
          <w:color w:val="000000"/>
          <w:sz w:val="21"/>
          <w:szCs w:val="21"/>
        </w:rPr>
        <w:t>tional Sharing Incentives</w:t>
      </w:r>
      <w:r w:rsidRPr="00740EAF">
        <w:rPr>
          <w:rFonts w:ascii="Arial" w:eastAsia="Times New Roman" w:hAnsi="Arial" w:cs="Arial"/>
          <w:bCs/>
          <w:color w:val="000000"/>
          <w:sz w:val="21"/>
          <w:szCs w:val="21"/>
        </w:rPr>
        <w:t>.</w:t>
      </w:r>
      <w:r w:rsidR="00740EAF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r w:rsidR="000B766D" w:rsidRPr="00740EAF">
        <w:rPr>
          <w:rFonts w:ascii="Arial" w:eastAsia="Times New Roman" w:hAnsi="Arial" w:cs="Arial"/>
          <w:color w:val="000000"/>
          <w:sz w:val="21"/>
          <w:szCs w:val="21"/>
        </w:rPr>
        <w:t>The</w:t>
      </w:r>
      <w:r w:rsidR="009F6392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740EAF">
        <w:rPr>
          <w:rFonts w:ascii="Arial" w:eastAsia="Times New Roman" w:hAnsi="Arial" w:cs="Arial"/>
          <w:color w:val="000000"/>
          <w:sz w:val="21"/>
          <w:szCs w:val="21"/>
        </w:rPr>
        <w:t xml:space="preserve">21-student </w:t>
      </w:r>
      <w:r w:rsidR="009F6392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cap </w:t>
      </w:r>
      <w:r w:rsidR="00740EAF">
        <w:rPr>
          <w:rFonts w:ascii="Arial" w:eastAsia="Times New Roman" w:hAnsi="Arial" w:cs="Arial"/>
          <w:color w:val="000000"/>
          <w:sz w:val="21"/>
          <w:szCs w:val="21"/>
        </w:rPr>
        <w:t>sh</w:t>
      </w:r>
      <w:r w:rsidR="009F6392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ould </w:t>
      </w:r>
      <w:r w:rsidR="00740EAF">
        <w:rPr>
          <w:rFonts w:ascii="Arial" w:eastAsia="Times New Roman" w:hAnsi="Arial" w:cs="Arial"/>
          <w:color w:val="000000"/>
          <w:sz w:val="21"/>
          <w:szCs w:val="21"/>
        </w:rPr>
        <w:t>expand</w:t>
      </w:r>
      <w:r w:rsidR="009F6392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to allow </w:t>
      </w:r>
      <w:r w:rsidR="000B766D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access </w:t>
      </w:r>
      <w:r w:rsidR="00542E71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to </w:t>
      </w:r>
      <w:r w:rsidR="00740EAF">
        <w:rPr>
          <w:rFonts w:ascii="Arial" w:eastAsia="Times New Roman" w:hAnsi="Arial" w:cs="Arial"/>
          <w:color w:val="000000"/>
          <w:sz w:val="21"/>
          <w:szCs w:val="21"/>
        </w:rPr>
        <w:t xml:space="preserve">any </w:t>
      </w:r>
      <w:r w:rsidR="00542E71" w:rsidRPr="00740EAF">
        <w:rPr>
          <w:rFonts w:ascii="Arial" w:eastAsia="Times New Roman" w:hAnsi="Arial" w:cs="Arial"/>
          <w:color w:val="000000"/>
          <w:sz w:val="21"/>
          <w:szCs w:val="21"/>
        </w:rPr>
        <w:t>new</w:t>
      </w:r>
      <w:r w:rsidR="000B766D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9F6392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flexibility. </w:t>
      </w:r>
    </w:p>
    <w:p w:rsidR="0000657D" w:rsidRPr="00740EAF" w:rsidRDefault="0000657D" w:rsidP="0000657D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E2B2A" w:rsidRPr="00740EAF" w:rsidRDefault="0000657D" w:rsidP="00E24920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Quality Preschool:</w:t>
      </w:r>
      <w:r w:rsidR="003168DD"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="003168DD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funding of quality </w:t>
      </w:r>
      <w:r w:rsidR="00740EAF">
        <w:rPr>
          <w:rFonts w:ascii="Arial" w:eastAsia="Times New Roman" w:hAnsi="Arial" w:cs="Arial"/>
          <w:color w:val="000000"/>
          <w:sz w:val="21"/>
          <w:szCs w:val="21"/>
        </w:rPr>
        <w:t>PK</w:t>
      </w:r>
      <w:r w:rsidR="00542E71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at the 1.0 per pupil cost</w:t>
      </w:r>
      <w:r w:rsidR="00542E71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and</w:t>
      </w:r>
      <w:r w:rsidR="00E24920"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 formula protections against budget and program impacts of </w:t>
      </w:r>
      <w:r w:rsidR="00542E71"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>PK</w:t>
      </w:r>
      <w:r w:rsidR="00E24920"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enrollment swings</w:t>
      </w:r>
      <w:r w:rsidR="00542E71"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</w:t>
      </w:r>
      <w:r w:rsidR="00E24920"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>budget guarantee</w:t>
      </w:r>
      <w:r w:rsid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>/</w:t>
      </w:r>
      <w:r w:rsidR="00E24920"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>on</w:t>
      </w:r>
      <w:r w:rsidR="00D5740D"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>-</w:t>
      </w:r>
      <w:r w:rsidR="00E24920"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>time spending authority</w:t>
      </w:r>
      <w:r w:rsidR="00542E71"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  <w:r w:rsidR="00E24920"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9E2B2A" w:rsidRPr="00740EAF" w:rsidRDefault="009E2B2A" w:rsidP="0000657D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00657D" w:rsidRPr="00740EAF" w:rsidRDefault="0000657D" w:rsidP="0000657D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School Safety:</w:t>
      </w:r>
      <w:r w:rsidR="003168DD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0B766D" w:rsidRPr="00740EAF">
        <w:rPr>
          <w:rFonts w:ascii="Arial" w:eastAsia="Times New Roman" w:hAnsi="Arial" w:cs="Arial"/>
          <w:color w:val="000000"/>
          <w:sz w:val="21"/>
          <w:szCs w:val="21"/>
        </w:rPr>
        <w:t>school safety investments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, including additional funding for security personnel and training to protect against emergency situations</w:t>
      </w:r>
      <w:r w:rsidR="003168DD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</w:p>
    <w:p w:rsidR="000B766D" w:rsidRPr="00740EAF" w:rsidRDefault="000B766D" w:rsidP="0000657D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i/>
          <w:sz w:val="21"/>
          <w:szCs w:val="21"/>
        </w:rPr>
      </w:pPr>
    </w:p>
    <w:p w:rsidR="0000657D" w:rsidRPr="00740EAF" w:rsidRDefault="0000657D" w:rsidP="0000657D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sz w:val="21"/>
          <w:szCs w:val="21"/>
        </w:rPr>
        <w:t>Bonding Capacity</w:t>
      </w:r>
      <w:r w:rsidRPr="00740EAF">
        <w:rPr>
          <w:rFonts w:ascii="Arial" w:eastAsia="Times New Roman" w:hAnsi="Arial" w:cs="Arial"/>
          <w:sz w:val="21"/>
          <w:szCs w:val="21"/>
        </w:rPr>
        <w:t xml:space="preserve">: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a simple majority, 50% plus 1, voter ap</w:t>
      </w:r>
      <w:r w:rsidR="003168DD" w:rsidRPr="00740EAF">
        <w:rPr>
          <w:rFonts w:ascii="Arial" w:eastAsia="Times New Roman" w:hAnsi="Arial" w:cs="Arial"/>
          <w:color w:val="000000"/>
          <w:sz w:val="21"/>
          <w:szCs w:val="21"/>
        </w:rPr>
        <w:t>proval for school bond issues</w:t>
      </w:r>
      <w:r w:rsidR="000B766D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and </w:t>
      </w:r>
      <w:r w:rsidR="0040318A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calculation of </w:t>
      </w:r>
      <w:r w:rsidR="00542E71" w:rsidRPr="00740EAF">
        <w:rPr>
          <w:rFonts w:ascii="Arial" w:eastAsia="Times New Roman" w:hAnsi="Arial" w:cs="Arial"/>
          <w:color w:val="000000"/>
          <w:sz w:val="21"/>
          <w:szCs w:val="21"/>
        </w:rPr>
        <w:t>debt limit excluding d</w:t>
      </w:r>
      <w:r w:rsidR="0040318A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ebt backed by the </w:t>
      </w:r>
      <w:r w:rsidR="000B766D" w:rsidRPr="00740EAF">
        <w:rPr>
          <w:rFonts w:ascii="Arial" w:eastAsia="Times New Roman" w:hAnsi="Arial" w:cs="Arial"/>
          <w:color w:val="000000"/>
          <w:sz w:val="21"/>
          <w:szCs w:val="21"/>
        </w:rPr>
        <w:t>SAVE</w:t>
      </w:r>
      <w:r w:rsidR="0040318A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</w:p>
    <w:p w:rsidR="009E2B2A" w:rsidRPr="00740EAF" w:rsidRDefault="009E2B2A" w:rsidP="0000657D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</w:p>
    <w:p w:rsidR="00542E71" w:rsidRPr="00740EAF" w:rsidRDefault="009E2B2A" w:rsidP="00542E71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color w:val="000000"/>
          <w:sz w:val="21"/>
          <w:szCs w:val="21"/>
        </w:rPr>
        <w:t>Internet Connectivity and Access:</w:t>
      </w:r>
      <w:r w:rsidR="00A02685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740EAF">
        <w:rPr>
          <w:rFonts w:ascii="Arial" w:eastAsia="Times New Roman" w:hAnsi="Arial" w:cs="Arial"/>
          <w:color w:val="000000"/>
          <w:sz w:val="21"/>
          <w:szCs w:val="21"/>
        </w:rPr>
        <w:t>expanded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access to high-speed </w:t>
      </w:r>
      <w:r w:rsidR="00740EAF">
        <w:rPr>
          <w:rFonts w:ascii="Arial" w:eastAsia="Times New Roman" w:hAnsi="Arial" w:cs="Arial"/>
          <w:color w:val="000000"/>
          <w:sz w:val="21"/>
          <w:szCs w:val="21"/>
        </w:rPr>
        <w:t>I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nternet </w:t>
      </w:r>
      <w:r w:rsidR="00740EAF">
        <w:rPr>
          <w:rFonts w:ascii="Arial" w:eastAsia="Times New Roman" w:hAnsi="Arial" w:cs="Arial"/>
          <w:color w:val="000000"/>
          <w:sz w:val="21"/>
          <w:szCs w:val="21"/>
        </w:rPr>
        <w:t>for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all Iowans </w:t>
      </w:r>
      <w:r w:rsidR="00542E71" w:rsidRPr="00740EAF">
        <w:rPr>
          <w:rFonts w:ascii="Arial" w:eastAsia="Times New Roman" w:hAnsi="Arial" w:cs="Arial"/>
          <w:color w:val="000000"/>
          <w:sz w:val="21"/>
          <w:szCs w:val="21"/>
        </w:rPr>
        <w:t>including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incentives, investments, and creative solutions to close the technology gap for students, businesses and community members in rural Iowa. </w:t>
      </w:r>
      <w:r w:rsidR="00542E71" w:rsidRPr="00740EAF">
        <w:rPr>
          <w:rFonts w:ascii="Arial" w:eastAsia="Times New Roman" w:hAnsi="Arial" w:cs="Arial"/>
          <w:color w:val="000000"/>
          <w:sz w:val="21"/>
          <w:szCs w:val="21"/>
        </w:rPr>
        <w:t>Low</w:t>
      </w:r>
      <w:r w:rsidR="00CA4110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income should not be a barrier to internet access.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542E71" w:rsidRPr="00740EAF" w:rsidRDefault="00542E71" w:rsidP="00542E71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</w:p>
    <w:p w:rsidR="00BF74FB" w:rsidRPr="00740EAF" w:rsidRDefault="00CA4110" w:rsidP="00542E71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color w:val="000000"/>
          <w:sz w:val="21"/>
          <w:szCs w:val="21"/>
        </w:rPr>
        <w:t xml:space="preserve">Remote Learning and Instructional Time: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local </w:t>
      </w:r>
      <w:r w:rsidR="00740EAF">
        <w:rPr>
          <w:rFonts w:ascii="Arial" w:eastAsia="Times New Roman" w:hAnsi="Arial" w:cs="Arial"/>
          <w:color w:val="000000"/>
          <w:sz w:val="21"/>
          <w:szCs w:val="21"/>
        </w:rPr>
        <w:t>authority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to de</w:t>
      </w:r>
      <w:r w:rsidR="00A02685" w:rsidRPr="00740EAF">
        <w:rPr>
          <w:rFonts w:ascii="Arial" w:eastAsia="Times New Roman" w:hAnsi="Arial" w:cs="Arial"/>
          <w:color w:val="000000"/>
          <w:sz w:val="21"/>
          <w:szCs w:val="21"/>
        </w:rPr>
        <w:t>termine when school should close, for emergency</w:t>
      </w:r>
      <w:r w:rsidR="00F85242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BF74FB" w:rsidRPr="00740EAF">
        <w:rPr>
          <w:rFonts w:ascii="Arial" w:eastAsia="Times New Roman" w:hAnsi="Arial" w:cs="Arial"/>
          <w:color w:val="000000"/>
          <w:sz w:val="21"/>
          <w:szCs w:val="21"/>
        </w:rPr>
        <w:t>situations</w:t>
      </w:r>
      <w:r w:rsidR="00740EAF" w:rsidRPr="00740EAF">
        <w:rPr>
          <w:rFonts w:ascii="Arial" w:eastAsia="Times New Roman" w:hAnsi="Arial" w:cs="Arial"/>
          <w:color w:val="000000"/>
          <w:sz w:val="21"/>
          <w:szCs w:val="21"/>
        </w:rPr>
        <w:t>/</w:t>
      </w:r>
      <w:r w:rsidR="00BF74FB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safety, </w:t>
      </w:r>
      <w:r w:rsidR="00740EAF" w:rsidRPr="00740EAF">
        <w:rPr>
          <w:rFonts w:ascii="Arial" w:eastAsia="Times New Roman" w:hAnsi="Arial" w:cs="Arial"/>
          <w:color w:val="000000"/>
          <w:sz w:val="21"/>
          <w:szCs w:val="21"/>
        </w:rPr>
        <w:t>counting instructional time</w:t>
      </w:r>
      <w:r w:rsidR="000B766D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toward minimum instructional days or hours </w:t>
      </w:r>
      <w:r w:rsidR="00BF74FB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as long as engagement in virtual learning </w:t>
      </w:r>
      <w:r w:rsidR="00740EAF" w:rsidRPr="00740EAF">
        <w:rPr>
          <w:rFonts w:ascii="Arial" w:eastAsia="Times New Roman" w:hAnsi="Arial" w:cs="Arial"/>
          <w:color w:val="000000"/>
          <w:sz w:val="21"/>
          <w:szCs w:val="21"/>
        </w:rPr>
        <w:t>is r</w:t>
      </w:r>
      <w:r w:rsidR="00BF74FB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equired and needs of all students are anticipated and met. </w:t>
      </w:r>
    </w:p>
    <w:p w:rsidR="00BF74FB" w:rsidRPr="00740EAF" w:rsidRDefault="00BF74FB" w:rsidP="005D1F95">
      <w:pPr>
        <w:spacing w:before="240" w:line="240" w:lineRule="auto"/>
        <w:rPr>
          <w:rFonts w:ascii="Arial" w:hAnsi="Arial" w:cs="Arial"/>
          <w:sz w:val="21"/>
          <w:szCs w:val="21"/>
        </w:rPr>
      </w:pPr>
      <w:r w:rsidRPr="00740EAF">
        <w:rPr>
          <w:rFonts w:ascii="Arial" w:eastAsia="Times New Roman" w:hAnsi="Arial" w:cs="Arial"/>
          <w:b/>
          <w:color w:val="000000"/>
          <w:sz w:val="21"/>
          <w:szCs w:val="21"/>
        </w:rPr>
        <w:t>Local School Board Authority:</w:t>
      </w:r>
      <w:r w:rsidR="003168DD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locally elected leaders closest to the community are in the best position to determine the interest of stu</w:t>
      </w:r>
      <w:r w:rsidR="003168DD"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dents, staff and stakeholders. </w:t>
      </w:r>
      <w:r w:rsidRPr="00740EAF">
        <w:rPr>
          <w:rFonts w:ascii="Arial" w:hAnsi="Arial" w:cs="Arial"/>
          <w:sz w:val="21"/>
          <w:szCs w:val="21"/>
        </w:rPr>
        <w:t>District leaders need maximum flexibility to provide a gr</w:t>
      </w:r>
      <w:r w:rsidR="003168DD" w:rsidRPr="00740EAF">
        <w:rPr>
          <w:rFonts w:ascii="Arial" w:hAnsi="Arial" w:cs="Arial"/>
          <w:sz w:val="21"/>
          <w:szCs w:val="21"/>
        </w:rPr>
        <w:t xml:space="preserve">eat education to all students. </w:t>
      </w:r>
      <w:r w:rsidRPr="00740EAF">
        <w:rPr>
          <w:rFonts w:ascii="Arial" w:hAnsi="Arial" w:cs="Arial"/>
          <w:sz w:val="21"/>
          <w:szCs w:val="21"/>
        </w:rPr>
        <w:t xml:space="preserve">The Legislature, the </w:t>
      </w:r>
      <w:r w:rsidR="00740EAF">
        <w:rPr>
          <w:rFonts w:ascii="Arial" w:hAnsi="Arial" w:cs="Arial"/>
          <w:sz w:val="21"/>
          <w:szCs w:val="21"/>
        </w:rPr>
        <w:t>E</w:t>
      </w:r>
      <w:r w:rsidRPr="00740EAF">
        <w:rPr>
          <w:rFonts w:ascii="Arial" w:hAnsi="Arial" w:cs="Arial"/>
          <w:sz w:val="21"/>
          <w:szCs w:val="21"/>
        </w:rPr>
        <w:t xml:space="preserve">xecutive </w:t>
      </w:r>
      <w:r w:rsidR="00740EAF">
        <w:rPr>
          <w:rFonts w:ascii="Arial" w:hAnsi="Arial" w:cs="Arial"/>
          <w:sz w:val="21"/>
          <w:szCs w:val="21"/>
        </w:rPr>
        <w:t>B</w:t>
      </w:r>
      <w:r w:rsidRPr="00740EAF">
        <w:rPr>
          <w:rFonts w:ascii="Arial" w:hAnsi="Arial" w:cs="Arial"/>
          <w:sz w:val="21"/>
          <w:szCs w:val="21"/>
        </w:rPr>
        <w:t xml:space="preserve">ranch and the courts should follow </w:t>
      </w:r>
      <w:r w:rsidR="000B766D" w:rsidRPr="00740EAF">
        <w:rPr>
          <w:rFonts w:ascii="Arial" w:hAnsi="Arial" w:cs="Arial"/>
          <w:sz w:val="21"/>
          <w:szCs w:val="21"/>
        </w:rPr>
        <w:t>Iowa Code 274.3</w:t>
      </w:r>
      <w:r w:rsidRPr="00740EAF">
        <w:rPr>
          <w:rFonts w:ascii="Arial" w:hAnsi="Arial" w:cs="Arial"/>
          <w:sz w:val="21"/>
          <w:szCs w:val="21"/>
        </w:rPr>
        <w:t xml:space="preserve"> and liberally construe </w:t>
      </w:r>
      <w:r w:rsidR="00740EAF" w:rsidRPr="00740EAF">
        <w:rPr>
          <w:rFonts w:ascii="Arial" w:hAnsi="Arial" w:cs="Arial"/>
          <w:sz w:val="21"/>
          <w:szCs w:val="21"/>
        </w:rPr>
        <w:t>statute to</w:t>
      </w:r>
      <w:r w:rsidRPr="00740EAF">
        <w:rPr>
          <w:rFonts w:ascii="Arial" w:hAnsi="Arial" w:cs="Arial"/>
          <w:sz w:val="21"/>
          <w:szCs w:val="21"/>
        </w:rPr>
        <w:t xml:space="preserve"> effectuate local control. </w:t>
      </w:r>
    </w:p>
    <w:p w:rsidR="00BF494E" w:rsidRPr="0000657D" w:rsidRDefault="00BF494E" w:rsidP="0000657D">
      <w:pPr>
        <w:rPr>
          <w:rFonts w:ascii="Arial" w:eastAsia="Times New Roman" w:hAnsi="Arial" w:cs="Arial"/>
          <w:color w:val="000000"/>
          <w:sz w:val="23"/>
          <w:szCs w:val="23"/>
        </w:rPr>
      </w:pPr>
    </w:p>
    <w:sectPr w:rsidR="00BF494E" w:rsidRPr="0000657D" w:rsidSect="009E2B2A">
      <w:headerReference w:type="default" r:id="rId8"/>
      <w:footerReference w:type="default" r:id="rId9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1D2" w:rsidRDefault="006701D2" w:rsidP="002E082B">
      <w:pPr>
        <w:spacing w:after="0" w:line="240" w:lineRule="auto"/>
      </w:pPr>
      <w:r>
        <w:separator/>
      </w:r>
    </w:p>
  </w:endnote>
  <w:endnote w:type="continuationSeparator" w:id="0">
    <w:p w:rsidR="006701D2" w:rsidRDefault="006701D2" w:rsidP="002E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5E3" w:rsidRPr="008205E3" w:rsidRDefault="008205E3" w:rsidP="008205E3">
    <w:pPr>
      <w:tabs>
        <w:tab w:val="left" w:pos="912"/>
      </w:tabs>
      <w:spacing w:after="0"/>
      <w:jc w:val="center"/>
      <w:rPr>
        <w:rFonts w:eastAsia="Times New Roman" w:cstheme="minorHAnsi"/>
        <w:color w:val="000000"/>
        <w:sz w:val="18"/>
        <w:szCs w:val="18"/>
        <w:lang w:eastAsia="zh-CN"/>
      </w:rPr>
    </w:pPr>
    <w:r w:rsidRPr="008205E3">
      <w:rPr>
        <w:rFonts w:eastAsia="Times New Roman" w:cstheme="minorHAnsi"/>
        <w:color w:val="000000"/>
        <w:sz w:val="18"/>
        <w:szCs w:val="18"/>
        <w:lang w:eastAsia="zh-CN"/>
      </w:rPr>
      <w:t>_____________________________________________________________</w:t>
    </w:r>
  </w:p>
  <w:p w:rsidR="008205E3" w:rsidRPr="008205E3" w:rsidRDefault="008205E3" w:rsidP="008205E3">
    <w:pPr>
      <w:tabs>
        <w:tab w:val="left" w:pos="912"/>
      </w:tabs>
      <w:spacing w:after="0"/>
      <w:jc w:val="center"/>
      <w:rPr>
        <w:rFonts w:eastAsia="Times New Roman" w:cstheme="minorHAnsi"/>
        <w:color w:val="000000"/>
        <w:sz w:val="18"/>
        <w:szCs w:val="18"/>
        <w:lang w:eastAsia="zh-CN"/>
      </w:rPr>
    </w:pPr>
    <w:r w:rsidRPr="008205E3">
      <w:rPr>
        <w:rFonts w:eastAsia="Times New Roman" w:cstheme="minorHAnsi"/>
        <w:color w:val="000000"/>
        <w:sz w:val="18"/>
        <w:szCs w:val="18"/>
        <w:lang w:eastAsia="zh-CN"/>
      </w:rPr>
      <w:t>RSAI | 1201 63</w:t>
    </w:r>
    <w:r w:rsidRPr="008205E3">
      <w:rPr>
        <w:rFonts w:eastAsia="Times New Roman" w:cstheme="minorHAnsi"/>
        <w:color w:val="000000"/>
        <w:sz w:val="18"/>
        <w:szCs w:val="18"/>
        <w:vertAlign w:val="superscript"/>
        <w:lang w:eastAsia="zh-CN"/>
      </w:rPr>
      <w:t>rd</w:t>
    </w:r>
    <w:r w:rsidRPr="008205E3">
      <w:rPr>
        <w:rFonts w:eastAsia="Times New Roman" w:cstheme="minorHAnsi"/>
        <w:color w:val="000000"/>
        <w:sz w:val="18"/>
        <w:szCs w:val="18"/>
        <w:lang w:eastAsia="zh-CN"/>
      </w:rPr>
      <w:t xml:space="preserve"> Street, Des Moines, IA 50311 | </w:t>
    </w:r>
    <w:hyperlink r:id="rId1" w:history="1">
      <w:r w:rsidRPr="008205E3">
        <w:rPr>
          <w:rStyle w:val="Hyperlink"/>
          <w:rFonts w:eastAsia="Times New Roman" w:cstheme="minorHAnsi"/>
          <w:sz w:val="18"/>
          <w:szCs w:val="18"/>
          <w:lang w:eastAsia="zh-CN"/>
        </w:rPr>
        <w:t>www.rsaia.org</w:t>
      </w:r>
    </w:hyperlink>
  </w:p>
  <w:p w:rsidR="008205E3" w:rsidRPr="008205E3" w:rsidRDefault="008205E3" w:rsidP="008205E3">
    <w:pPr>
      <w:tabs>
        <w:tab w:val="left" w:pos="912"/>
      </w:tabs>
      <w:spacing w:after="0"/>
      <w:jc w:val="center"/>
      <w:rPr>
        <w:rFonts w:eastAsia="Times New Roman" w:cstheme="minorHAnsi"/>
        <w:color w:val="000000"/>
        <w:sz w:val="18"/>
        <w:szCs w:val="18"/>
        <w:lang w:eastAsia="zh-CN"/>
      </w:rPr>
    </w:pPr>
    <w:r w:rsidRPr="008205E3">
      <w:rPr>
        <w:rFonts w:eastAsia="Times New Roman" w:cstheme="minorHAnsi"/>
        <w:color w:val="000000"/>
        <w:sz w:val="18"/>
        <w:szCs w:val="18"/>
        <w:lang w:eastAsia="zh-CN"/>
      </w:rPr>
      <w:t xml:space="preserve">Margaret Buckton, </w:t>
    </w:r>
    <w:hyperlink r:id="rId2" w:history="1">
      <w:r w:rsidRPr="008205E3">
        <w:rPr>
          <w:rStyle w:val="Hyperlink"/>
          <w:rFonts w:eastAsia="Times New Roman" w:cstheme="minorHAnsi"/>
          <w:sz w:val="18"/>
          <w:szCs w:val="18"/>
          <w:lang w:eastAsia="zh-CN"/>
        </w:rPr>
        <w:t>margaret.buckton@rsaia.org</w:t>
      </w:r>
    </w:hyperlink>
    <w:r w:rsidRPr="008205E3">
      <w:rPr>
        <w:rFonts w:eastAsia="Times New Roman" w:cstheme="minorHAnsi"/>
        <w:color w:val="000000"/>
        <w:sz w:val="18"/>
        <w:szCs w:val="18"/>
        <w:lang w:eastAsia="zh-CN"/>
      </w:rPr>
      <w:t>, C-(515) 201-3755, O-(515) 251-5970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1D2" w:rsidRDefault="006701D2" w:rsidP="002E082B">
      <w:pPr>
        <w:spacing w:after="0" w:line="240" w:lineRule="auto"/>
      </w:pPr>
      <w:r>
        <w:separator/>
      </w:r>
    </w:p>
  </w:footnote>
  <w:footnote w:type="continuationSeparator" w:id="0">
    <w:p w:rsidR="006701D2" w:rsidRDefault="006701D2" w:rsidP="002E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82B" w:rsidRDefault="002E082B" w:rsidP="002E082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hidden="0" allowOverlap="1" wp14:anchorId="7290B1DA" wp14:editId="3403F8B3">
              <wp:simplePos x="0" y="0"/>
              <wp:positionH relativeFrom="margin">
                <wp:posOffset>2108200</wp:posOffset>
              </wp:positionH>
              <wp:positionV relativeFrom="paragraph">
                <wp:posOffset>-203199</wp:posOffset>
              </wp:positionV>
              <wp:extent cx="927100" cy="7874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3719" y="3389507"/>
                        <a:ext cx="924560" cy="780983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txbx>
                      <w:txbxContent>
                        <w:p w:rsidR="002E082B" w:rsidRDefault="002E082B" w:rsidP="002E082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w14:anchorId="7290B1DA" id="Rectangle 3" o:spid="_x0000_s1026" style="position:absolute;margin-left:166pt;margin-top:-16pt;width:73pt;height:6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" o:allowincell="f" fillcolor="#00b0f0" stroked="f">
              <v:textbox inset="2.53958mm,2.53958mm,2.53958mm,2.53958mm">
                <w:txbxContent>
                  <w:p w:rsidR="002E082B" w:rsidRDefault="002E082B" w:rsidP="002E082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hidden="0" allowOverlap="1" wp14:anchorId="1768B249" wp14:editId="268C6A65">
              <wp:simplePos x="0" y="0"/>
              <wp:positionH relativeFrom="margin">
                <wp:posOffset>5016500</wp:posOffset>
              </wp:positionH>
              <wp:positionV relativeFrom="paragraph">
                <wp:posOffset>-203199</wp:posOffset>
              </wp:positionV>
              <wp:extent cx="927100" cy="7874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3719" y="3389792"/>
                        <a:ext cx="924560" cy="780414"/>
                      </a:xfrm>
                      <a:prstGeom prst="rect">
                        <a:avLst/>
                      </a:prstGeom>
                      <a:solidFill>
                        <a:srgbClr val="E36C09">
                          <a:alpha val="57647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E082B" w:rsidRDefault="002E082B" w:rsidP="002E082B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28"/>
                            </w:rPr>
                            <w:t>rsaia.org</w:t>
                          </w:r>
                        </w:p>
                      </w:txbxContent>
                    </wps:txbx>
                    <wps:bodyPr lIns="91425" tIns="45700" rIns="91425" bIns="45700" anchor="ctr" anchorCtr="0"/>
                  </wps:wsp>
                </a:graphicData>
              </a:graphic>
            </wp:anchor>
          </w:drawing>
        </mc:Choice>
        <mc:Fallback>
          <w:pict>
            <v:rect w14:anchorId="1768B249" id="Rectangle 4" o:spid="_x0000_s1027" style="position:absolute;margin-left:395pt;margin-top:-16pt;width:73pt;height:6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" o:allowincell="f" fillcolor="#e36c09" stroked="f">
              <v:fill opacity="37779f"/>
              <v:textbox inset="2.53958mm,1.2694mm,2.53958mm,1.2694mm">
                <w:txbxContent>
                  <w:p w:rsidR="002E082B" w:rsidRDefault="002E082B" w:rsidP="002E082B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sz w:val="28"/>
                      </w:rPr>
                      <w:t>rsaia.org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hidden="0" allowOverlap="1" wp14:anchorId="73DA704B" wp14:editId="1E12D1A7">
              <wp:simplePos x="0" y="0"/>
              <wp:positionH relativeFrom="margin">
                <wp:posOffset>50800</wp:posOffset>
              </wp:positionH>
              <wp:positionV relativeFrom="paragraph">
                <wp:posOffset>-241299</wp:posOffset>
              </wp:positionV>
              <wp:extent cx="927100" cy="8128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3719" y="3373380"/>
                        <a:ext cx="924560" cy="813237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2E082B" w:rsidRDefault="002E082B" w:rsidP="002E082B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lIns="91425" tIns="45700" rIns="91425" bIns="45700" anchor="ctr" anchorCtr="0"/>
                  </wps:wsp>
                </a:graphicData>
              </a:graphic>
            </wp:anchor>
          </w:drawing>
        </mc:Choice>
        <mc:Fallback>
          <w:pict>
            <v:rect w14:anchorId="73DA704B" id="Rectangle 5" o:spid="_x0000_s1028" style="position:absolute;margin-left:4pt;margin-top:-19pt;width:73pt;height:6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" o:allowincell="f" fillcolor="#92d050" stroked="f">
              <v:textbox inset="2.53958mm,1.2694mm,2.53958mm,1.2694mm">
                <w:txbxContent>
                  <w:p w:rsidR="002E082B" w:rsidRDefault="002E082B" w:rsidP="002E082B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hidden="0" allowOverlap="1" wp14:anchorId="5301B66E" wp14:editId="03C06DBC">
              <wp:simplePos x="0" y="0"/>
              <wp:positionH relativeFrom="margin">
                <wp:posOffset>1066800</wp:posOffset>
              </wp:positionH>
              <wp:positionV relativeFrom="paragraph">
                <wp:posOffset>-228599</wp:posOffset>
              </wp:positionV>
              <wp:extent cx="927100" cy="80010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3719" y="3378855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2E082B" w:rsidRDefault="002E082B" w:rsidP="002E082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w14:anchorId="5301B66E" id="Rectangle 6" o:spid="_x0000_s1029" style="position:absolute;margin-left:84pt;margin-top:-18pt;width:73pt;height:63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" o:allowincell="f" fillcolor="#c00000" stroked="f">
              <v:textbox inset="2.53958mm,2.53958mm,2.53958mm,2.53958mm">
                <w:txbxContent>
                  <w:p w:rsidR="002E082B" w:rsidRDefault="002E082B" w:rsidP="002E082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0" hidden="0" allowOverlap="1" wp14:anchorId="083E7BA0" wp14:editId="601950AF">
          <wp:simplePos x="0" y="0"/>
          <wp:positionH relativeFrom="margin">
            <wp:posOffset>3145790</wp:posOffset>
          </wp:positionH>
          <wp:positionV relativeFrom="paragraph">
            <wp:posOffset>-410559</wp:posOffset>
          </wp:positionV>
          <wp:extent cx="1776095" cy="1054100"/>
          <wp:effectExtent l="0" t="0" r="0" b="0"/>
          <wp:wrapSquare wrapText="bothSides" distT="0" distB="0" distL="114300" distR="114300"/>
          <wp:docPr id="9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E082B" w:rsidRDefault="002E0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439C"/>
    <w:multiLevelType w:val="hybridMultilevel"/>
    <w:tmpl w:val="D55A5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52E18"/>
    <w:multiLevelType w:val="hybridMultilevel"/>
    <w:tmpl w:val="38D48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0NTY1NTA1NzW0NDBW0lEKTi0uzszPAykwrQUAEcsWuiwAAAA="/>
  </w:docVars>
  <w:rsids>
    <w:rsidRoot w:val="0000657D"/>
    <w:rsid w:val="0000657D"/>
    <w:rsid w:val="00035D64"/>
    <w:rsid w:val="000B766D"/>
    <w:rsid w:val="001442C9"/>
    <w:rsid w:val="00181598"/>
    <w:rsid w:val="001F5878"/>
    <w:rsid w:val="00223128"/>
    <w:rsid w:val="00265183"/>
    <w:rsid w:val="002D20AC"/>
    <w:rsid w:val="002E082B"/>
    <w:rsid w:val="003168DD"/>
    <w:rsid w:val="00353BE7"/>
    <w:rsid w:val="0039354E"/>
    <w:rsid w:val="003A3CF6"/>
    <w:rsid w:val="0040318A"/>
    <w:rsid w:val="0041656C"/>
    <w:rsid w:val="00542E71"/>
    <w:rsid w:val="00545872"/>
    <w:rsid w:val="005959D4"/>
    <w:rsid w:val="005B3302"/>
    <w:rsid w:val="005D1F95"/>
    <w:rsid w:val="005E34EB"/>
    <w:rsid w:val="006701D2"/>
    <w:rsid w:val="00683E97"/>
    <w:rsid w:val="0073737E"/>
    <w:rsid w:val="00740EAF"/>
    <w:rsid w:val="007512B8"/>
    <w:rsid w:val="007A310C"/>
    <w:rsid w:val="008041AA"/>
    <w:rsid w:val="00806F5B"/>
    <w:rsid w:val="008205E3"/>
    <w:rsid w:val="00880335"/>
    <w:rsid w:val="00990846"/>
    <w:rsid w:val="009E2B2A"/>
    <w:rsid w:val="009F6392"/>
    <w:rsid w:val="00A02685"/>
    <w:rsid w:val="00A313E2"/>
    <w:rsid w:val="00A54E03"/>
    <w:rsid w:val="00A62234"/>
    <w:rsid w:val="00A67655"/>
    <w:rsid w:val="00B04A87"/>
    <w:rsid w:val="00B45FFB"/>
    <w:rsid w:val="00BA3AA8"/>
    <w:rsid w:val="00BF494E"/>
    <w:rsid w:val="00BF74FB"/>
    <w:rsid w:val="00C24093"/>
    <w:rsid w:val="00C427B7"/>
    <w:rsid w:val="00C618D9"/>
    <w:rsid w:val="00CA4110"/>
    <w:rsid w:val="00CD3E07"/>
    <w:rsid w:val="00CF744C"/>
    <w:rsid w:val="00CF77E7"/>
    <w:rsid w:val="00D5740D"/>
    <w:rsid w:val="00E24920"/>
    <w:rsid w:val="00E654DE"/>
    <w:rsid w:val="00EC4DFC"/>
    <w:rsid w:val="00F8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D863D-FE10-4552-993B-7703F5C0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5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5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82B"/>
  </w:style>
  <w:style w:type="paragraph" w:styleId="Footer">
    <w:name w:val="footer"/>
    <w:basedOn w:val="Normal"/>
    <w:link w:val="FooterChar"/>
    <w:uiPriority w:val="99"/>
    <w:unhideWhenUsed/>
    <w:rsid w:val="002E0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82B"/>
  </w:style>
  <w:style w:type="character" w:styleId="Hyperlink">
    <w:name w:val="Hyperlink"/>
    <w:basedOn w:val="DefaultParagraphFont"/>
    <w:uiPriority w:val="99"/>
    <w:unhideWhenUsed/>
    <w:rsid w:val="002E08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saia.org/legislativ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garet.buckton@rsaia.org" TargetMode="External"/><Relationship Id="rId1" Type="http://schemas.openxmlformats.org/officeDocument/2006/relationships/hyperlink" Target="http://www.rsa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Jen</cp:lastModifiedBy>
  <cp:revision>2</cp:revision>
  <dcterms:created xsi:type="dcterms:W3CDTF">2020-11-30T18:27:00Z</dcterms:created>
  <dcterms:modified xsi:type="dcterms:W3CDTF">2020-11-30T18:27:00Z</dcterms:modified>
</cp:coreProperties>
</file>