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E4911" w14:textId="6B3DCC10" w:rsidR="007D5C6C" w:rsidRPr="007D5C6C" w:rsidRDefault="007D5C6C" w:rsidP="007D5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kern w:val="0"/>
          <w:sz w:val="10"/>
          <w:szCs w:val="10"/>
          <w:lang w:val="en-US" w:eastAsia="bg-BG"/>
          <w14:ligatures w14:val="none"/>
        </w:rPr>
      </w:pPr>
    </w:p>
    <w:p w14:paraId="6D95CFAA" w14:textId="77777777" w:rsidR="007D5C6C" w:rsidRPr="007D5C6C" w:rsidRDefault="007D5C6C" w:rsidP="007D5C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74B5"/>
          <w:kern w:val="0"/>
          <w:sz w:val="10"/>
          <w:szCs w:val="10"/>
          <w:lang w:val="bg-BG" w:eastAsia="bg-BG"/>
          <w14:ligatures w14:val="none"/>
        </w:rPr>
      </w:pPr>
    </w:p>
    <w:p w14:paraId="4A3D3290" w14:textId="2823CA1E" w:rsidR="007D5C6C" w:rsidRPr="007D5C6C" w:rsidRDefault="007D5C6C" w:rsidP="009B5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  <w:t>Описание на обектите, които ще бъдат посетени и са включени в ученическите пътувания:</w:t>
      </w:r>
    </w:p>
    <w:p w14:paraId="28C987D2" w14:textId="77777777" w:rsidR="007D5C6C" w:rsidRPr="007D5C6C" w:rsidRDefault="007D5C6C" w:rsidP="009B55B9">
      <w:pPr>
        <w:contextualSpacing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:lang w:val="bg-BG" w:eastAsia="ar-SA"/>
          <w14:ligatures w14:val="none"/>
        </w:rPr>
      </w:pPr>
    </w:p>
    <w:p w14:paraId="0E24602A" w14:textId="77777777" w:rsidR="007D5C6C" w:rsidRPr="007D5C6C" w:rsidRDefault="007D5C6C" w:rsidP="007D5C6C">
      <w:pPr>
        <w:numPr>
          <w:ilvl w:val="0"/>
          <w:numId w:val="14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>Делфинариум, гр. Варна</w:t>
      </w:r>
    </w:p>
    <w:p w14:paraId="2489D119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Делфинариумът е действително една от най-забавните атракции, който Варна предлага на гостите си. Построен е през 1984 г. и има 1134 места. В спектакъл, продължаващ 30 минути, посетителите могат да се убедят в невероятната интелигентност и възприемчивост на морските бозайници. Програмата на Делфинариума е много разнообразна и атрактивна, тя включва много трикове, включително двойни салта и дори троен аксел.</w:t>
      </w:r>
    </w:p>
    <w:p w14:paraId="56277B81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На територията на делфинариума се намира атрактивна кафе-сладкарница, която има вградени панорамни стъкла. От тях могат да се наблюдават подводните игри на делфините, когато не са на представление.</w:t>
      </w:r>
    </w:p>
    <w:p w14:paraId="43B9F262" w14:textId="6206CEAA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73600" behindDoc="1" locked="0" layoutInCell="1" allowOverlap="1" wp14:anchorId="2326DEEB" wp14:editId="1E73F83C">
            <wp:simplePos x="0" y="0"/>
            <wp:positionH relativeFrom="column">
              <wp:posOffset>2955925</wp:posOffset>
            </wp:positionH>
            <wp:positionV relativeFrom="paragraph">
              <wp:posOffset>144780</wp:posOffset>
            </wp:positionV>
            <wp:extent cx="3078480" cy="1731010"/>
            <wp:effectExtent l="0" t="0" r="7620" b="2540"/>
            <wp:wrapNone/>
            <wp:docPr id="8197751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72576" behindDoc="1" locked="0" layoutInCell="1" allowOverlap="1" wp14:anchorId="25429040" wp14:editId="38DD3BD8">
            <wp:simplePos x="0" y="0"/>
            <wp:positionH relativeFrom="column">
              <wp:posOffset>-69215</wp:posOffset>
            </wp:positionH>
            <wp:positionV relativeFrom="paragraph">
              <wp:posOffset>129540</wp:posOffset>
            </wp:positionV>
            <wp:extent cx="2712720" cy="1806575"/>
            <wp:effectExtent l="0" t="0" r="0" b="3175"/>
            <wp:wrapNone/>
            <wp:docPr id="16209980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4705E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0CA7AD07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17A5A815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492DEC7E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01D686D4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1DFF1975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5E8057F3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7CBAE9D4" w14:textId="77777777" w:rsidR="007D5C6C" w:rsidRPr="007D5C6C" w:rsidRDefault="007D5C6C" w:rsidP="007D5C6C">
      <w:pPr>
        <w:numPr>
          <w:ilvl w:val="0"/>
          <w:numId w:val="14"/>
        </w:numPr>
        <w:spacing w:after="0" w:line="240" w:lineRule="auto"/>
        <w:contextualSpacing/>
        <w:rPr>
          <w:rFonts w:ascii="Calibri" w:eastAsia="Calibri" w:hAnsi="Calibri" w:cs="Calibri"/>
          <w:kern w:val="0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 xml:space="preserve"> </w:t>
      </w:r>
    </w:p>
    <w:p w14:paraId="29A96114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61FE07DE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6980B40D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09883FDA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4B063B9A" w14:textId="57DEB6AF" w:rsidR="007D5C6C" w:rsidRPr="009B55B9" w:rsidRDefault="007D5C6C" w:rsidP="009B55B9">
      <w:pPr>
        <w:pStyle w:val="ListParagraph"/>
        <w:numPr>
          <w:ilvl w:val="0"/>
          <w:numId w:val="16"/>
        </w:numPr>
        <w:spacing w:after="0" w:line="240" w:lineRule="auto"/>
        <w:rPr>
          <w:rFonts w:ascii="Calibri" w:eastAsia="Calibri" w:hAnsi="Calibri" w:cs="Calibri"/>
          <w:b/>
          <w:kern w:val="0"/>
          <w:lang w:val="bg-BG" w:eastAsia="ar-SA"/>
          <w14:ligatures w14:val="none"/>
        </w:rPr>
      </w:pPr>
      <w:r w:rsidRPr="009B55B9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>Морска градина на град Варна</w:t>
      </w:r>
    </w:p>
    <w:p w14:paraId="49295FA2" w14:textId="77777777" w:rsidR="007D5C6C" w:rsidRPr="007D5C6C" w:rsidRDefault="007D5C6C" w:rsidP="007D5C6C">
      <w:pPr>
        <w:ind w:left="720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</w:p>
    <w:p w14:paraId="534697C7" w14:textId="77777777" w:rsidR="007D5C6C" w:rsidRPr="007D5C6C" w:rsidRDefault="007D5C6C" w:rsidP="007D5C6C">
      <w:pPr>
        <w:ind w:firstLine="42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Тя е сред символите на града. Обявена е за произведение на парковото изкуство. На север Морската градина граничи с парка на държавно-правителствената резиденция </w:t>
      </w:r>
      <w:hyperlink r:id="rId9" w:tooltip="Евксиноград" w:history="1">
        <w:r w:rsidRPr="007D5C6C">
          <w:rPr>
            <w:rFonts w:ascii="Times New Roman" w:eastAsia="Times New Roman" w:hAnsi="Times New Roman" w:cs="Times New Roman"/>
            <w:kern w:val="0"/>
            <w:sz w:val="24"/>
            <w:szCs w:val="24"/>
            <w:lang w:val="bg-BG" w:eastAsia="bg-BG"/>
            <w14:ligatures w14:val="none"/>
          </w:rPr>
          <w:t>Евксиноград</w:t>
        </w:r>
      </w:hyperlink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. Тези два парка имат сравнително еднаква площ от около 820 дка. Разликата между тях е, че Морската градина се посещава от около половин милион души, а паркът на Евксиноград е за ползване от президентството и правителството.</w:t>
      </w:r>
    </w:p>
    <w:p w14:paraId="56398389" w14:textId="77777777" w:rsidR="007D5C6C" w:rsidRPr="007D5C6C" w:rsidRDefault="007D5C6C" w:rsidP="007D5C6C">
      <w:pPr>
        <w:ind w:firstLine="426"/>
        <w:contextualSpacing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Морската градина, ботаническият парк в </w:t>
      </w:r>
      <w:hyperlink r:id="rId10" w:tooltip="Балчик" w:history="1">
        <w:r w:rsidRPr="007D5C6C">
          <w:rPr>
            <w:rFonts w:ascii="Times New Roman" w:eastAsia="Times New Roman" w:hAnsi="Times New Roman" w:cs="Times New Roman"/>
            <w:kern w:val="0"/>
            <w:sz w:val="24"/>
            <w:szCs w:val="24"/>
            <w:lang w:val="bg-BG" w:eastAsia="bg-BG"/>
            <w14:ligatures w14:val="none"/>
          </w:rPr>
          <w:t>Балчик</w:t>
        </w:r>
      </w:hyperlink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 и ботаническата градина край </w:t>
      </w:r>
      <w:hyperlink r:id="rId11" w:tooltip="Свети свети Константин и Елена (курорт)" w:history="1">
        <w:r w:rsidRPr="007D5C6C">
          <w:rPr>
            <w:rFonts w:ascii="Times New Roman" w:eastAsia="Times New Roman" w:hAnsi="Times New Roman" w:cs="Times New Roman"/>
            <w:kern w:val="0"/>
            <w:sz w:val="24"/>
            <w:szCs w:val="24"/>
            <w:lang w:val="bg-BG" w:eastAsia="bg-BG"/>
            <w14:ligatures w14:val="none"/>
          </w:rPr>
          <w:t>Св. св. Константин и Елена</w:t>
        </w:r>
      </w:hyperlink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 са единствените изкуствени резервати за редки и защитени растения по морското крайбрежие на </w:t>
      </w:r>
      <w:hyperlink r:id="rId12" w:tooltip="България" w:history="1">
        <w:r w:rsidRPr="007D5C6C">
          <w:rPr>
            <w:rFonts w:ascii="Times New Roman" w:eastAsia="Times New Roman" w:hAnsi="Times New Roman" w:cs="Times New Roman"/>
            <w:kern w:val="0"/>
            <w:sz w:val="24"/>
            <w:szCs w:val="24"/>
            <w:lang w:val="bg-BG" w:eastAsia="bg-BG"/>
            <w14:ligatures w14:val="none"/>
          </w:rPr>
          <w:t>България</w:t>
        </w:r>
      </w:hyperlink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. Уникалността на варненската морска градина идва от нейното естествено продължение към плажа и морето и плавното преливане на парковия с морския ландшафт. Огромно също е значението на Морската градина за опресняване и пречистване на въздуха на все по-увеличаващия се и урбанизиращ се град. В Морската градина има множество културни и природни забележителности, сред които са алеи, паметници, учреждения, музеи и места за развлечения и спорт.</w:t>
      </w:r>
    </w:p>
    <w:p w14:paraId="50EDE5D1" w14:textId="68FD1F22" w:rsidR="007D5C6C" w:rsidRPr="007D5C6C" w:rsidRDefault="007D5C6C" w:rsidP="007D5C6C">
      <w:pPr>
        <w:ind w:left="720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noProof/>
          <w:kern w:val="0"/>
          <w:sz w:val="24"/>
          <w:lang w:val="bg-BG" w:eastAsia="bg-BG"/>
          <w14:ligatures w14:val="none"/>
        </w:rPr>
        <w:drawing>
          <wp:anchor distT="0" distB="0" distL="114300" distR="114300" simplePos="0" relativeHeight="251674624" behindDoc="0" locked="0" layoutInCell="1" allowOverlap="1" wp14:anchorId="05A4A78B" wp14:editId="12B9479D">
            <wp:simplePos x="0" y="0"/>
            <wp:positionH relativeFrom="column">
              <wp:posOffset>64135</wp:posOffset>
            </wp:positionH>
            <wp:positionV relativeFrom="paragraph">
              <wp:posOffset>189230</wp:posOffset>
            </wp:positionV>
            <wp:extent cx="3176905" cy="1588770"/>
            <wp:effectExtent l="0" t="0" r="4445" b="0"/>
            <wp:wrapTopAndBottom/>
            <wp:docPr id="10547186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Calibri" w:hAnsi="Times New Roman" w:cs="Times New Roman"/>
          <w:b/>
          <w:noProof/>
          <w:kern w:val="0"/>
          <w:sz w:val="24"/>
          <w:lang w:val="bg-BG" w:eastAsia="bg-BG"/>
          <w14:ligatures w14:val="none"/>
        </w:rPr>
        <w:drawing>
          <wp:anchor distT="0" distB="0" distL="114300" distR="114300" simplePos="0" relativeHeight="251675648" behindDoc="0" locked="0" layoutInCell="1" allowOverlap="1" wp14:anchorId="18BC2D21" wp14:editId="0BCB1117">
            <wp:simplePos x="0" y="0"/>
            <wp:positionH relativeFrom="column">
              <wp:posOffset>3507105</wp:posOffset>
            </wp:positionH>
            <wp:positionV relativeFrom="paragraph">
              <wp:posOffset>189230</wp:posOffset>
            </wp:positionV>
            <wp:extent cx="2973705" cy="1556385"/>
            <wp:effectExtent l="0" t="0" r="0" b="5715"/>
            <wp:wrapTopAndBottom/>
            <wp:docPr id="17772095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6659B" w14:textId="77777777" w:rsidR="007D5C6C" w:rsidRPr="007D5C6C" w:rsidRDefault="007D5C6C" w:rsidP="007D5C6C">
      <w:pPr>
        <w:ind w:left="720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</w:p>
    <w:p w14:paraId="11C4CD9E" w14:textId="77777777" w:rsidR="007D5C6C" w:rsidRPr="007D5C6C" w:rsidRDefault="007D5C6C" w:rsidP="007D5C6C">
      <w:pPr>
        <w:ind w:left="720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</w:p>
    <w:p w14:paraId="4610E5DD" w14:textId="77777777" w:rsidR="007D5C6C" w:rsidRPr="007D5C6C" w:rsidRDefault="007D5C6C" w:rsidP="009B55B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>Природен феномен „Побити камъни“</w:t>
      </w:r>
    </w:p>
    <w:p w14:paraId="114F235C" w14:textId="1177C3A9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66432" behindDoc="1" locked="0" layoutInCell="1" allowOverlap="1" wp14:anchorId="061C1638" wp14:editId="3536C6DC">
            <wp:simplePos x="0" y="0"/>
            <wp:positionH relativeFrom="column">
              <wp:posOffset>3520440</wp:posOffset>
            </wp:positionH>
            <wp:positionV relativeFrom="paragraph">
              <wp:posOffset>594360</wp:posOffset>
            </wp:positionV>
            <wp:extent cx="2468880" cy="1851660"/>
            <wp:effectExtent l="0" t="0" r="7620" b="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2616669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65408" behindDoc="1" locked="0" layoutInCell="1" allowOverlap="1" wp14:anchorId="7E8D23E7" wp14:editId="59C9BFD4">
            <wp:simplePos x="0" y="0"/>
            <wp:positionH relativeFrom="column">
              <wp:posOffset>320040</wp:posOffset>
            </wp:positionH>
            <wp:positionV relativeFrom="paragraph">
              <wp:posOffset>594360</wp:posOffset>
            </wp:positionV>
            <wp:extent cx="2788920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393" y="21467"/>
                <wp:lineTo x="21393" y="0"/>
                <wp:lineTo x="0" y="0"/>
              </wp:wrapPolygon>
            </wp:wrapTight>
            <wp:docPr id="133176538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Природният феномен Побити камъни е уникален природен феномен без аналог в света и е един от трите геоложки обекта в България с признато световно значение. Намират се на 18 км западно от Варна. Представлява естествени каменни колони, достигащи до 6 м височина. Няколко реда каменни колони създават впечатлението, че са сглобени от по два конуса, едва крепящи се на острите си върхове. Много атрактивна е и групата на колоните, изглеждащи като вкаменели животни или замръзнали водоскоци. Някои от тях достигат в основата си до 12 метрa. Наименованието на забележителността произтича от факта, че камъните нямат основа. Те са забити в земята на дълбочина до 100 метра.</w:t>
      </w:r>
    </w:p>
    <w:p w14:paraId="240C2C42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511FFA69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52D67EE9" w14:textId="77777777" w:rsidR="007D5C6C" w:rsidRPr="007D5C6C" w:rsidRDefault="007D5C6C" w:rsidP="009B55B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>Археологически музей, гр. Варна</w:t>
      </w:r>
    </w:p>
    <w:p w14:paraId="09CF98A6" w14:textId="72074CCF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67456" behindDoc="1" locked="0" layoutInCell="1" allowOverlap="1" wp14:anchorId="07A752A7" wp14:editId="3813FE15">
            <wp:simplePos x="0" y="0"/>
            <wp:positionH relativeFrom="margin">
              <wp:posOffset>251460</wp:posOffset>
            </wp:positionH>
            <wp:positionV relativeFrom="paragraph">
              <wp:posOffset>891540</wp:posOffset>
            </wp:positionV>
            <wp:extent cx="2849880" cy="1900555"/>
            <wp:effectExtent l="0" t="0" r="7620" b="4445"/>
            <wp:wrapSquare wrapText="bothSides"/>
            <wp:docPr id="135262270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59264" behindDoc="1" locked="0" layoutInCell="1" allowOverlap="1" wp14:anchorId="391A7C5A" wp14:editId="1C6CC8E6">
            <wp:simplePos x="0" y="0"/>
            <wp:positionH relativeFrom="column">
              <wp:posOffset>3390900</wp:posOffset>
            </wp:positionH>
            <wp:positionV relativeFrom="paragraph">
              <wp:posOffset>883920</wp:posOffset>
            </wp:positionV>
            <wp:extent cx="2834640" cy="1889760"/>
            <wp:effectExtent l="0" t="0" r="3810" b="0"/>
            <wp:wrapTight wrapText="bothSides">
              <wp:wrapPolygon edited="0">
                <wp:start x="0" y="0"/>
                <wp:lineTo x="0" y="21339"/>
                <wp:lineTo x="21484" y="21339"/>
                <wp:lineTo x="21484" y="0"/>
                <wp:lineTo x="0" y="0"/>
              </wp:wrapPolygon>
            </wp:wrapTight>
            <wp:docPr id="4777690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Археологическият музей във Варна е един от най-старите в България, с големи традиции в науката и музейното дело. На площ  от 2000 кв.м, с десетки хиляди експонати  са представени разделите: Праистория (40 000 г. – 1200 г. пр. Хр), Античност (VІІІ в. пр. Хр. – VІ в. сл. Хр.), Средновековие(VІІ-ХVІІІ в.) и Нумизматика - с богата сбирка от разнообразни монети от VІ в. пр. Хр. до ХVІІІ в. Всички представени експонати са открити при разкопки във Варна (античния</w:t>
      </w:r>
    </w:p>
    <w:p w14:paraId="7C1FD046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425387CA" w14:textId="77777777" w:rsidR="009B55B9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 Одесос) и региона.  Сред тях най-атрактивно за посетителите е най-старото злато в света – повече от 3000 предмета, открити в некропол край Варна -  над 6 кг златни предмети от средния и късен халколит (4600-4200 г. пр. Хр.). Вниманието привличат също и най-големите сбирки в България от антични теракотови статуетки (V-І в. пр. Хр.), стъклени съдове (ІV в. пр. Хр.- VІ в.) и  лампи (V в. пр. Хр. – VІІ в. сл. Хр.), както и от средновековни златни и сребърни накити (ХІІ-ХІV в.). Изключително ценна е също сбирката от антични златни накити и предмети (V в. пр. Хр. – VІ в. сл. Хр.), някои от които са уникални. Има керамика от времето на Първото и Второто българско царство, великолепни образци на средновековното златарство и забележителни керамични произведения.    </w:t>
      </w:r>
    </w:p>
    <w:p w14:paraId="573935D8" w14:textId="2605A9E5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  <w:bookmarkStart w:id="0" w:name="_GoBack"/>
      <w:bookmarkEnd w:id="0"/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  </w:t>
      </w:r>
    </w:p>
    <w:p w14:paraId="48D376FC" w14:textId="77777777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</w:pPr>
    </w:p>
    <w:p w14:paraId="73888161" w14:textId="77777777" w:rsidR="007D5C6C" w:rsidRPr="007D5C6C" w:rsidRDefault="007D5C6C" w:rsidP="009B55B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lastRenderedPageBreak/>
        <w:t xml:space="preserve">Устие на река „Камчия“ </w:t>
      </w:r>
    </w:p>
    <w:p w14:paraId="56D84C4A" w14:textId="622D15E0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71552" behindDoc="0" locked="0" layoutInCell="1" allowOverlap="1" wp14:anchorId="48215E90" wp14:editId="70E02660">
            <wp:simplePos x="0" y="0"/>
            <wp:positionH relativeFrom="column">
              <wp:posOffset>12700</wp:posOffset>
            </wp:positionH>
            <wp:positionV relativeFrom="paragraph">
              <wp:posOffset>1598295</wp:posOffset>
            </wp:positionV>
            <wp:extent cx="3049905" cy="1854200"/>
            <wp:effectExtent l="0" t="0" r="0" b="0"/>
            <wp:wrapTopAndBottom/>
            <wp:docPr id="15629144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 xml:space="preserve">Река Камчия е най-дългата река в България и на Балканския полуостров (244,5 км), която се влива направо в Черно море. В древността е била известна с името Панисус, е през Средновековието я наричали Тича. Резерватът „Камчия” обхваща долното поречие на река Камчия, землищата на общините Аврен и Долни чифлик. Резерватът се намира на около 25 км южно от Варна, в близост до курортите „Камчия” и „Шкорпиловци”. Заради важното си природозащитно и екологично значение през 1977 г. е включен в световната мрежа от биосферни резервати като част от програмата „Човек и биосфера” на ЮНЕСКО за опазване на най-представителните екосистеми на планетата. </w:t>
      </w:r>
    </w:p>
    <w:p w14:paraId="42F39C02" w14:textId="6DB22F13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ru-RU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70528" behindDoc="1" locked="0" layoutInCell="1" allowOverlap="1" wp14:anchorId="43359A4C" wp14:editId="0B7A4B94">
            <wp:simplePos x="0" y="0"/>
            <wp:positionH relativeFrom="margin">
              <wp:posOffset>3225165</wp:posOffset>
            </wp:positionH>
            <wp:positionV relativeFrom="paragraph">
              <wp:posOffset>196215</wp:posOffset>
            </wp:positionV>
            <wp:extent cx="3326130" cy="1862455"/>
            <wp:effectExtent l="0" t="0" r="7620" b="4445"/>
            <wp:wrapTopAndBottom/>
            <wp:docPr id="15029290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4CC80" w14:textId="77777777" w:rsidR="007D5C6C" w:rsidRPr="007D5C6C" w:rsidRDefault="007D5C6C" w:rsidP="007D5C6C">
      <w:pPr>
        <w:spacing w:after="0" w:line="240" w:lineRule="auto"/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</w:pPr>
    </w:p>
    <w:p w14:paraId="311600D3" w14:textId="77777777" w:rsidR="007D5C6C" w:rsidRPr="007D5C6C" w:rsidRDefault="007D5C6C" w:rsidP="009B55B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</w:pPr>
      <w:r w:rsidRPr="007D5C6C">
        <w:rPr>
          <w:rFonts w:ascii="Times New Roman" w:eastAsia="Calibri" w:hAnsi="Times New Roman" w:cs="Times New Roman"/>
          <w:b/>
          <w:kern w:val="0"/>
          <w:sz w:val="24"/>
          <w:lang w:val="bg-BG" w:eastAsia="ar-SA"/>
          <w14:ligatures w14:val="none"/>
        </w:rPr>
        <w:t xml:space="preserve">Лонгозни гори на река „Камчия“ </w:t>
      </w:r>
    </w:p>
    <w:p w14:paraId="402351A5" w14:textId="232F07A2" w:rsidR="007D5C6C" w:rsidRPr="007D5C6C" w:rsidRDefault="007D5C6C" w:rsidP="007D5C6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2E74B5"/>
          <w:kern w:val="0"/>
          <w:sz w:val="28"/>
          <w:szCs w:val="26"/>
          <w:u w:val="single"/>
          <w:lang w:val="bg-BG" w:eastAsia="bg-BG"/>
          <w14:ligatures w14:val="none"/>
        </w:rPr>
      </w:pP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69504" behindDoc="0" locked="0" layoutInCell="1" allowOverlap="1" wp14:anchorId="7A6D233B" wp14:editId="61D093E5">
            <wp:simplePos x="0" y="0"/>
            <wp:positionH relativeFrom="column">
              <wp:posOffset>125095</wp:posOffset>
            </wp:positionH>
            <wp:positionV relativeFrom="paragraph">
              <wp:posOffset>2966720</wp:posOffset>
            </wp:positionV>
            <wp:extent cx="2999740" cy="2178050"/>
            <wp:effectExtent l="0" t="0" r="0" b="0"/>
            <wp:wrapTopAndBottom/>
            <wp:docPr id="2128488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drawing>
          <wp:anchor distT="0" distB="0" distL="114300" distR="114300" simplePos="0" relativeHeight="251668480" behindDoc="1" locked="0" layoutInCell="1" allowOverlap="1" wp14:anchorId="47ED9587" wp14:editId="54A33A98">
            <wp:simplePos x="0" y="0"/>
            <wp:positionH relativeFrom="column">
              <wp:posOffset>3406775</wp:posOffset>
            </wp:positionH>
            <wp:positionV relativeFrom="paragraph">
              <wp:posOffset>2993390</wp:posOffset>
            </wp:positionV>
            <wp:extent cx="3038475" cy="2122805"/>
            <wp:effectExtent l="0" t="0" r="9525" b="0"/>
            <wp:wrapTight wrapText="bothSides">
              <wp:wrapPolygon edited="0">
                <wp:start x="0" y="0"/>
                <wp:lineTo x="0" y="21322"/>
                <wp:lineTo x="21532" y="21322"/>
                <wp:lineTo x="21532" y="0"/>
                <wp:lineTo x="0" y="0"/>
              </wp:wrapPolygon>
            </wp:wrapTight>
            <wp:docPr id="4393707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5C6C">
        <w:rPr>
          <w:rFonts w:ascii="Times New Roman" w:eastAsia="Times New Roman" w:hAnsi="Times New Roman" w:cs="Times New Roman"/>
          <w:kern w:val="0"/>
          <w:sz w:val="24"/>
          <w:szCs w:val="24"/>
          <w:lang w:val="bg-BG" w:eastAsia="bg-BG"/>
          <w14:ligatures w14:val="none"/>
        </w:rPr>
        <w:t>В долното течение на река Камчия се намира най-голямата вековна крайречна гора в България, наречена Лонгоз, обявена за природен резерват (1951 г., от 1977 г. - биосферен), за да се запази първичния й естествен вид.</w:t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t xml:space="preserve"> Камчийската гора прилича на широколистна джунгла - гъста, влажна, труднопроходима, етажирана, преплетена с увивни растения, понякога достигащи дължина до 50 м. Гората се е развила върху влажната низина. Образувана след запълването на Камчийския лиман с речни наноси. Периодично, когато устието на Камчия се затлачи с пясък при силни пробойни вълни, при обилно снеготопене или поройни дъждове, речната вода се надига, връща се назад и  залива гората - само короните  на дърветата остават да стърчат над водата. В лонгозната гора се срещат около 40 дървесни вида - летен дъб, елша, полски клен, бяла топола, дива круша, бяла върба, мъждрян и други светлолюбиви видове, но преобладават полският бряст и остролистният ясен. Много дървета са на възраст над 150 години и достигат до 30-35 м височина. Храстите са представени от червен къпина, черен глог, шипка, дрян, широколистен чашкодрян, леска, калина, а от лианите, които образуват плътни завеси в най-влажните места най-често се срещат скрипка, дива лоза, повет,</w:t>
      </w:r>
      <w:r w:rsidR="009B55B9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t xml:space="preserve"> </w:t>
      </w:r>
      <w:r w:rsidRPr="007D5C6C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bg-BG" w:eastAsia="bg-BG"/>
          <w14:ligatures w14:val="none"/>
        </w:rPr>
        <w:t xml:space="preserve">бял и черен имел. Тук  е едно от най-големите находища у нас на блатно кокиче. </w:t>
      </w:r>
    </w:p>
    <w:sectPr w:rsidR="007D5C6C" w:rsidRPr="007D5C6C" w:rsidSect="00F33830">
      <w:headerReference w:type="default" r:id="rId23"/>
      <w:footerReference w:type="default" r:id="rId24"/>
      <w:pgSz w:w="11906" w:h="16838"/>
      <w:pgMar w:top="671" w:right="849" w:bottom="993" w:left="85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6409CD" w14:textId="77777777" w:rsidR="007C40AB" w:rsidRDefault="007C40AB" w:rsidP="007D5C6C">
      <w:pPr>
        <w:spacing w:after="0" w:line="240" w:lineRule="auto"/>
      </w:pPr>
      <w:r>
        <w:separator/>
      </w:r>
    </w:p>
  </w:endnote>
  <w:endnote w:type="continuationSeparator" w:id="0">
    <w:p w14:paraId="586F4B36" w14:textId="77777777" w:rsidR="007C40AB" w:rsidRDefault="007C40AB" w:rsidP="007D5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9910D" w14:textId="647B8615" w:rsidR="00812955" w:rsidRDefault="007D5C6C">
    <w:pPr>
      <w:pStyle w:val="Footer"/>
      <w:jc w:val="center"/>
    </w:pPr>
    <w:r>
      <w:rPr>
        <w:noProof/>
        <w:lang w:val="bg-BG" w:eastAsia="bg-BG"/>
      </w:rPr>
      <mc:AlternateContent>
        <mc:Choice Requires="wps">
          <w:drawing>
            <wp:inline distT="0" distB="0" distL="0" distR="0" wp14:anchorId="6704DF4E" wp14:editId="4C2707D1">
              <wp:extent cx="5467350" cy="45085"/>
              <wp:effectExtent l="3810" t="6985" r="5715" b="5080"/>
              <wp:docPr id="652495227" name="Flowchart: Decision 18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546735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9953BE0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8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<v:fill r:id="rId1" o:title="" type="pattern"/>
              <w10:anchorlock/>
            </v:shape>
          </w:pict>
        </mc:Fallback>
      </mc:AlternateContent>
    </w:r>
  </w:p>
  <w:p w14:paraId="395E8F4B" w14:textId="4C382FDD" w:rsidR="00812955" w:rsidRDefault="00AE7A1A">
    <w:pPr>
      <w:pStyle w:val="Footer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 w:rsidR="009B55B9">
      <w:rPr>
        <w:noProof/>
      </w:rPr>
      <w:t>3</w:t>
    </w:r>
    <w:r>
      <w:rPr>
        <w:noProof/>
      </w:rPr>
      <w:fldChar w:fldCharType="end"/>
    </w:r>
  </w:p>
  <w:p w14:paraId="7BABF57A" w14:textId="77777777" w:rsidR="00812955" w:rsidRDefault="007C40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75B6C7" w14:textId="77777777" w:rsidR="007C40AB" w:rsidRDefault="007C40AB" w:rsidP="007D5C6C">
      <w:pPr>
        <w:spacing w:after="0" w:line="240" w:lineRule="auto"/>
      </w:pPr>
      <w:r>
        <w:separator/>
      </w:r>
    </w:p>
  </w:footnote>
  <w:footnote w:type="continuationSeparator" w:id="0">
    <w:p w14:paraId="541B979B" w14:textId="77777777" w:rsidR="007C40AB" w:rsidRDefault="007C40AB" w:rsidP="007D5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75BCC" w14:textId="77777777" w:rsidR="00E62962" w:rsidRPr="007D5C6C" w:rsidRDefault="007C40AB" w:rsidP="00E62962">
    <w:pPr>
      <w:widowControl w:val="0"/>
      <w:tabs>
        <w:tab w:val="right" w:pos="9000"/>
      </w:tabs>
      <w:autoSpaceDE w:val="0"/>
      <w:autoSpaceDN w:val="0"/>
      <w:adjustRightInd w:val="0"/>
      <w:rPr>
        <w:b/>
        <w:bCs/>
        <w:color w:val="000000"/>
        <w:sz w:val="36"/>
        <w:szCs w:val="36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004F61"/>
    <w:multiLevelType w:val="hybridMultilevel"/>
    <w:tmpl w:val="FA8ED884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F6088"/>
    <w:multiLevelType w:val="hybridMultilevel"/>
    <w:tmpl w:val="9138B7D2"/>
    <w:lvl w:ilvl="0" w:tplc="D3E222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6251C"/>
    <w:multiLevelType w:val="hybridMultilevel"/>
    <w:tmpl w:val="1F788654"/>
    <w:lvl w:ilvl="0" w:tplc="040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0272B"/>
    <w:multiLevelType w:val="hybridMultilevel"/>
    <w:tmpl w:val="C5922396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6137A99"/>
    <w:multiLevelType w:val="hybridMultilevel"/>
    <w:tmpl w:val="DBD2A11C"/>
    <w:lvl w:ilvl="0" w:tplc="21BC9398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16817"/>
    <w:multiLevelType w:val="hybridMultilevel"/>
    <w:tmpl w:val="034490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57EC3"/>
    <w:multiLevelType w:val="hybridMultilevel"/>
    <w:tmpl w:val="E48ED578"/>
    <w:lvl w:ilvl="0" w:tplc="D4A43A42">
      <w:start w:val="1"/>
      <w:numFmt w:val="decimal"/>
      <w:lvlText w:val="%1."/>
      <w:lvlJc w:val="left"/>
      <w:pPr>
        <w:ind w:left="54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 w15:restartNumberingAfterBreak="0">
    <w:nsid w:val="34F8436C"/>
    <w:multiLevelType w:val="hybridMultilevel"/>
    <w:tmpl w:val="33828A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7842ED"/>
    <w:multiLevelType w:val="hybridMultilevel"/>
    <w:tmpl w:val="2938D38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16336"/>
    <w:multiLevelType w:val="hybridMultilevel"/>
    <w:tmpl w:val="DAEE582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37FAE"/>
    <w:multiLevelType w:val="hybridMultilevel"/>
    <w:tmpl w:val="D74E67F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2C68DB"/>
    <w:multiLevelType w:val="hybridMultilevel"/>
    <w:tmpl w:val="D138E9EE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784F8D"/>
    <w:multiLevelType w:val="hybridMultilevel"/>
    <w:tmpl w:val="11320EC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5697E"/>
    <w:multiLevelType w:val="hybridMultilevel"/>
    <w:tmpl w:val="8E84004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D0089A"/>
    <w:multiLevelType w:val="hybridMultilevel"/>
    <w:tmpl w:val="03566E54"/>
    <w:lvl w:ilvl="0" w:tplc="E670ED76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1"/>
  </w:num>
  <w:num w:numId="4">
    <w:abstractNumId w:val="10"/>
  </w:num>
  <w:num w:numId="5">
    <w:abstractNumId w:val="8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3"/>
  </w:num>
  <w:num w:numId="11">
    <w:abstractNumId w:val="7"/>
  </w:num>
  <w:num w:numId="12">
    <w:abstractNumId w:val="13"/>
  </w:num>
  <w:num w:numId="13">
    <w:abstractNumId w:val="15"/>
  </w:num>
  <w:num w:numId="14">
    <w:abstractNumId w:val="14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918"/>
    <w:rsid w:val="000B664A"/>
    <w:rsid w:val="003D056C"/>
    <w:rsid w:val="003F3153"/>
    <w:rsid w:val="007C40AB"/>
    <w:rsid w:val="007D5C6C"/>
    <w:rsid w:val="00835972"/>
    <w:rsid w:val="00903918"/>
    <w:rsid w:val="009B55B9"/>
    <w:rsid w:val="00A33110"/>
    <w:rsid w:val="00AE7A1A"/>
    <w:rsid w:val="00E91FEE"/>
    <w:rsid w:val="00F361E7"/>
    <w:rsid w:val="00F8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6BDA35"/>
  <w15:chartTrackingRefBased/>
  <w15:docId w15:val="{F69F94BC-0B1D-49F8-AC3D-911C3A4D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C6C"/>
  </w:style>
  <w:style w:type="paragraph" w:styleId="Footer">
    <w:name w:val="footer"/>
    <w:basedOn w:val="Normal"/>
    <w:link w:val="FooterChar"/>
    <w:uiPriority w:val="99"/>
    <w:unhideWhenUsed/>
    <w:rsid w:val="007D5C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C6C"/>
  </w:style>
  <w:style w:type="character" w:styleId="Hyperlink">
    <w:name w:val="Hyperlink"/>
    <w:rsid w:val="007D5C6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5C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B55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hyperlink" Target="https://bg.wikipedia.org/wiki/%D0%91%D1%8A%D0%BB%D0%B3%D0%B0%D1%80%D0%B8%D1%8F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g.wikipedia.org/wiki/%D0%A1%D0%B2%D0%B5%D1%82%D0%B8_%D1%81%D0%B2%D0%B5%D1%82%D0%B8_%D0%9A%D0%BE%D0%BD%D1%81%D1%82%D0%B0%D0%BD%D1%82%D0%B8%D0%BD_%D0%B8_%D0%95%D0%BB%D0%B5%D0%BD%D0%B0_(%D0%BA%D1%83%D1%80%D0%BE%D1%80%D1%82)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hyperlink" Target="https://bg.wikipedia.org/wiki/%D0%91%D0%B0%D0%BB%D1%87%D0%B8%D0%BA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bg.wikipedia.org/wiki/%D0%95%D0%B2%D0%BA%D1%81%D0%B8%D0%BD%D0%BE%D0%B3%D1%80%D0%B0%D0%B4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Angelska-Rangelova</dc:creator>
  <cp:keywords/>
  <dc:description/>
  <cp:lastModifiedBy>NSU Sofia PC</cp:lastModifiedBy>
  <cp:revision>4</cp:revision>
  <dcterms:created xsi:type="dcterms:W3CDTF">2023-06-10T16:31:00Z</dcterms:created>
  <dcterms:modified xsi:type="dcterms:W3CDTF">2023-06-10T17:32:00Z</dcterms:modified>
</cp:coreProperties>
</file>